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7CD" w:rsidRDefault="00166166">
      <w:pPr>
        <w:spacing w:line="360" w:lineRule="auto"/>
        <w:rPr>
          <w:rFonts w:ascii="Times New Roman" w:eastAsia="黑体" w:hAnsi="Times New Roman"/>
          <w:sz w:val="32"/>
          <w:szCs w:val="32"/>
        </w:rPr>
      </w:pPr>
      <w:bookmarkStart w:id="0" w:name="_GoBack"/>
      <w:bookmarkEnd w:id="0"/>
      <w:r>
        <w:rPr>
          <w:rFonts w:ascii="Times New Roman" w:eastAsia="黑体" w:hAnsi="Times New Roman"/>
          <w:sz w:val="32"/>
          <w:szCs w:val="32"/>
        </w:rPr>
        <w:t>附件</w:t>
      </w:r>
    </w:p>
    <w:p w:rsidR="00B417CD" w:rsidRDefault="00166166">
      <w:pPr>
        <w:spacing w:before="100" w:line="360" w:lineRule="auto"/>
        <w:jc w:val="center"/>
        <w:rPr>
          <w:rFonts w:ascii="Times New Roman" w:hAnsi="Times New Roman"/>
          <w:b/>
          <w:sz w:val="36"/>
          <w:szCs w:val="36"/>
        </w:rPr>
      </w:pPr>
      <w:r>
        <w:rPr>
          <w:rFonts w:ascii="Times New Roman" w:hAnsi="Times New Roman"/>
          <w:b/>
          <w:sz w:val="36"/>
          <w:szCs w:val="36"/>
        </w:rPr>
        <w:t>外商投资信息报告业务流程及平台建设</w:t>
      </w:r>
      <w:r>
        <w:rPr>
          <w:rFonts w:ascii="Times New Roman" w:hAnsi="Times New Roman"/>
          <w:b/>
          <w:bCs/>
          <w:sz w:val="36"/>
          <w:szCs w:val="36"/>
        </w:rPr>
        <w:t>工作要点</w:t>
      </w:r>
    </w:p>
    <w:p w:rsidR="00B417CD" w:rsidRDefault="00166166">
      <w:pPr>
        <w:pStyle w:val="a3"/>
        <w:adjustRightInd w:val="0"/>
        <w:snapToGrid w:val="0"/>
        <w:spacing w:before="312"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各地</w:t>
      </w:r>
      <w:r>
        <w:rPr>
          <w:rFonts w:ascii="Times New Roman" w:eastAsia="仿宋_GB2312" w:hAnsi="Times New Roman" w:cs="Times New Roman"/>
          <w:sz w:val="32"/>
          <w:szCs w:val="32"/>
        </w:rPr>
        <w:t>商务、市场监管部门</w:t>
      </w:r>
      <w:r>
        <w:rPr>
          <w:rFonts w:ascii="Times New Roman" w:eastAsia="仿宋_GB2312" w:hAnsi="Times New Roman" w:cs="Times New Roman"/>
          <w:sz w:val="32"/>
          <w:szCs w:val="32"/>
        </w:rPr>
        <w:t>要</w:t>
      </w:r>
      <w:r>
        <w:rPr>
          <w:rFonts w:ascii="Times New Roman" w:eastAsia="仿宋_GB2312" w:hAnsi="Times New Roman" w:cs="Times New Roman"/>
          <w:sz w:val="32"/>
          <w:szCs w:val="32"/>
        </w:rPr>
        <w:t>根据</w:t>
      </w:r>
      <w:r>
        <w:rPr>
          <w:rFonts w:ascii="Times New Roman" w:eastAsia="仿宋_GB2312" w:hAnsi="Times New Roman" w:cs="Times New Roman"/>
          <w:sz w:val="32"/>
          <w:szCs w:val="32"/>
        </w:rPr>
        <w:t>《外商投资信息报告办法》</w:t>
      </w:r>
      <w:r>
        <w:rPr>
          <w:rFonts w:ascii="Times New Roman" w:eastAsia="仿宋_GB2312" w:hAnsi="Times New Roman" w:cs="Times New Roman"/>
          <w:sz w:val="32"/>
          <w:szCs w:val="32"/>
        </w:rPr>
        <w:t>《市场监管总局关于贯彻落实〈外商投资法〉做好外商投资企业登记注册工作的通知》《外商投资信息报告登记系统改造技术方案》</w:t>
      </w:r>
      <w:r>
        <w:rPr>
          <w:rFonts w:ascii="Times New Roman" w:eastAsia="仿宋_GB2312" w:hAnsi="Times New Roman" w:cs="Times New Roman"/>
          <w:sz w:val="32"/>
          <w:szCs w:val="32"/>
        </w:rPr>
        <w:t>要求，密切协作配合，加强业务联动，抓紧</w:t>
      </w:r>
      <w:r>
        <w:rPr>
          <w:rFonts w:ascii="Times New Roman" w:eastAsia="仿宋_GB2312" w:hAnsi="Times New Roman" w:cs="Times New Roman"/>
          <w:sz w:val="32"/>
          <w:szCs w:val="32"/>
        </w:rPr>
        <w:t>梳理业务流程，</w:t>
      </w:r>
      <w:r>
        <w:rPr>
          <w:rFonts w:ascii="Times New Roman" w:eastAsia="仿宋_GB2312" w:hAnsi="Times New Roman" w:cs="Times New Roman"/>
          <w:sz w:val="32"/>
          <w:szCs w:val="32"/>
        </w:rPr>
        <w:t>解决外商投资信息报告工作的突出问题。</w:t>
      </w:r>
      <w:r>
        <w:rPr>
          <w:rFonts w:ascii="楷体" w:eastAsia="楷体" w:hAnsi="楷体" w:cs="楷体" w:hint="eastAsia"/>
          <w:b/>
          <w:bCs/>
          <w:sz w:val="32"/>
          <w:szCs w:val="32"/>
        </w:rPr>
        <w:t>请各地按照以下要点逐项对照，于</w:t>
      </w:r>
      <w:r>
        <w:rPr>
          <w:rFonts w:ascii="楷体" w:eastAsia="楷体" w:hAnsi="楷体" w:cs="楷体" w:hint="eastAsia"/>
          <w:b/>
          <w:bCs/>
          <w:sz w:val="32"/>
          <w:szCs w:val="32"/>
        </w:rPr>
        <w:t>7</w:t>
      </w:r>
      <w:r>
        <w:rPr>
          <w:rFonts w:ascii="楷体" w:eastAsia="楷体" w:hAnsi="楷体" w:cs="楷体" w:hint="eastAsia"/>
          <w:b/>
          <w:bCs/>
          <w:sz w:val="32"/>
          <w:szCs w:val="32"/>
        </w:rPr>
        <w:t>月底前完成相关改造完善工作，并将各要点完成情况分别报商务部（外资司）和市场监管总局（登记注册局）。</w:t>
      </w:r>
      <w:r>
        <w:rPr>
          <w:rFonts w:ascii="Times New Roman" w:eastAsia="仿宋_GB2312" w:hAnsi="Times New Roman" w:cs="Times New Roman"/>
          <w:sz w:val="32"/>
          <w:szCs w:val="32"/>
        </w:rPr>
        <w:t>具体要求如下：</w:t>
      </w:r>
    </w:p>
    <w:p w:rsidR="00B417CD" w:rsidRDefault="00166166">
      <w:pPr>
        <w:pStyle w:val="a3"/>
        <w:adjustRightInd w:val="0"/>
        <w:snapToGrid w:val="0"/>
        <w:spacing w:line="360" w:lineRule="auto"/>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sz w:val="32"/>
          <w:szCs w:val="32"/>
        </w:rPr>
        <w:t>整合优化业务</w:t>
      </w:r>
      <w:r>
        <w:rPr>
          <w:rFonts w:ascii="Times New Roman" w:eastAsia="黑体" w:hAnsi="Times New Roman" w:cs="Times New Roman"/>
          <w:sz w:val="32"/>
          <w:szCs w:val="32"/>
        </w:rPr>
        <w:t>流程</w:t>
      </w:r>
    </w:p>
    <w:p w:rsidR="00B417CD" w:rsidRDefault="00166166">
      <w:pPr>
        <w:pStyle w:val="a3"/>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各地商务、市场监管部门</w:t>
      </w:r>
      <w:r>
        <w:rPr>
          <w:rFonts w:ascii="Times New Roman" w:eastAsia="仿宋_GB2312" w:hAnsi="Times New Roman" w:cs="Times New Roman"/>
          <w:sz w:val="32"/>
          <w:szCs w:val="32"/>
        </w:rPr>
        <w:t>要</w:t>
      </w:r>
      <w:r>
        <w:rPr>
          <w:rFonts w:ascii="Times New Roman" w:eastAsia="仿宋_GB2312" w:hAnsi="Times New Roman" w:cs="Times New Roman"/>
          <w:sz w:val="32"/>
          <w:szCs w:val="32"/>
        </w:rPr>
        <w:t>及时梳理各类外资主体办理注册登记的业务流程，做好外商投资信息报告填报提醒服务。</w:t>
      </w:r>
    </w:p>
    <w:p w:rsidR="00B417CD" w:rsidRDefault="00166166">
      <w:pPr>
        <w:pStyle w:val="a3"/>
        <w:adjustRightInd w:val="0"/>
        <w:snapToGrid w:val="0"/>
        <w:spacing w:line="360" w:lineRule="auto"/>
        <w:ind w:firstLineChars="200" w:firstLine="643"/>
        <w:rPr>
          <w:rFonts w:ascii="Times New Roman" w:eastAsia="方正楷体" w:hAnsi="Times New Roman" w:cs="Times New Roman"/>
          <w:b/>
          <w:bCs/>
          <w:sz w:val="32"/>
          <w:szCs w:val="32"/>
        </w:rPr>
      </w:pPr>
      <w:r>
        <w:rPr>
          <w:rFonts w:ascii="Times New Roman" w:eastAsia="方正楷体" w:hAnsi="Times New Roman" w:cs="Times New Roman"/>
          <w:b/>
          <w:bCs/>
          <w:sz w:val="32"/>
          <w:szCs w:val="32"/>
        </w:rPr>
        <w:t>（一）对线上办理登记企业的有关提示。</w:t>
      </w:r>
    </w:p>
    <w:p w:rsidR="00B417CD" w:rsidRDefault="00166166">
      <w:pPr>
        <w:pStyle w:val="a3"/>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对于通过线上方式办理设立、变更登记的外国投资者或外商投资企业，</w:t>
      </w:r>
      <w:r>
        <w:rPr>
          <w:rFonts w:ascii="Times New Roman" w:eastAsia="仿宋_GB2312" w:hAnsi="Times New Roman" w:cs="Times New Roman"/>
          <w:sz w:val="32"/>
          <w:szCs w:val="32"/>
        </w:rPr>
        <w:t>完成设立、变更登记信息项填写后，</w:t>
      </w:r>
      <w:r>
        <w:rPr>
          <w:rFonts w:ascii="Times New Roman" w:eastAsia="仿宋_GB2312" w:hAnsi="Times New Roman" w:cs="Times New Roman"/>
          <w:sz w:val="32"/>
          <w:szCs w:val="32"/>
        </w:rPr>
        <w:t>企业登记</w:t>
      </w:r>
      <w:r>
        <w:rPr>
          <w:rFonts w:ascii="Times New Roman" w:eastAsia="仿宋_GB2312" w:hAnsi="Times New Roman" w:cs="Times New Roman"/>
          <w:sz w:val="32"/>
          <w:szCs w:val="32"/>
        </w:rPr>
        <w:t>系统应弹出提示（见附</w:t>
      </w:r>
      <w:r>
        <w:rPr>
          <w:rFonts w:ascii="Times New Roman" w:eastAsia="仿宋_GB2312" w:hAnsi="Times New Roman" w:cs="Times New Roman"/>
          <w:sz w:val="32"/>
          <w:szCs w:val="32"/>
        </w:rPr>
        <w:t>例</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提示</w:t>
      </w:r>
      <w:r>
        <w:rPr>
          <w:rFonts w:ascii="Times New Roman" w:eastAsia="仿宋_GB2312" w:hAnsi="Times New Roman" w:cs="Times New Roman"/>
          <w:sz w:val="32"/>
          <w:szCs w:val="32"/>
        </w:rPr>
        <w:t>外国投资者或外商投资企业知悉履行外商投资信息报告的</w:t>
      </w:r>
      <w:r>
        <w:rPr>
          <w:rFonts w:ascii="Times New Roman" w:eastAsia="仿宋_GB2312" w:hAnsi="Times New Roman" w:cs="Times New Roman"/>
          <w:sz w:val="32"/>
          <w:szCs w:val="32"/>
        </w:rPr>
        <w:t>法定</w:t>
      </w:r>
      <w:r>
        <w:rPr>
          <w:rFonts w:ascii="Times New Roman" w:eastAsia="仿宋_GB2312" w:hAnsi="Times New Roman" w:cs="Times New Roman"/>
          <w:sz w:val="32"/>
          <w:szCs w:val="32"/>
        </w:rPr>
        <w:t>义务。</w:t>
      </w:r>
    </w:p>
    <w:p w:rsidR="00B417CD" w:rsidRDefault="00166166">
      <w:pPr>
        <w:pStyle w:val="a3"/>
        <w:adjustRightInd w:val="0"/>
        <w:snapToGrid w:val="0"/>
        <w:spacing w:line="360" w:lineRule="auto"/>
        <w:ind w:firstLineChars="200" w:firstLine="643"/>
        <w:rPr>
          <w:rFonts w:ascii="Times New Roman" w:eastAsia="方正楷体" w:hAnsi="Times New Roman" w:cs="Times New Roman"/>
          <w:b/>
          <w:bCs/>
          <w:sz w:val="32"/>
          <w:szCs w:val="32"/>
        </w:rPr>
      </w:pPr>
      <w:r>
        <w:rPr>
          <w:rFonts w:ascii="Times New Roman" w:eastAsia="方正楷体" w:hAnsi="Times New Roman" w:cs="Times New Roman"/>
          <w:b/>
          <w:bCs/>
          <w:sz w:val="32"/>
          <w:szCs w:val="32"/>
        </w:rPr>
        <w:t>（二）对线</w:t>
      </w:r>
      <w:r>
        <w:rPr>
          <w:rFonts w:ascii="Times New Roman" w:eastAsia="方正楷体" w:hAnsi="Times New Roman" w:cs="Times New Roman"/>
          <w:b/>
          <w:bCs/>
          <w:sz w:val="32"/>
          <w:szCs w:val="32"/>
        </w:rPr>
        <w:t>下</w:t>
      </w:r>
      <w:r>
        <w:rPr>
          <w:rFonts w:ascii="Times New Roman" w:eastAsia="方正楷体" w:hAnsi="Times New Roman" w:cs="Times New Roman"/>
          <w:b/>
          <w:bCs/>
          <w:sz w:val="32"/>
          <w:szCs w:val="32"/>
        </w:rPr>
        <w:t>办理登记企业的有关提示。</w:t>
      </w:r>
    </w:p>
    <w:p w:rsidR="00B417CD" w:rsidRDefault="00166166">
      <w:pPr>
        <w:pStyle w:val="a3"/>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对于仅通过线下途径办理设立、变更登记业务的外国投资者或外商投资企业，登记机关窗口</w:t>
      </w:r>
      <w:r>
        <w:rPr>
          <w:rFonts w:ascii="Times New Roman" w:eastAsia="仿宋_GB2312" w:hAnsi="Times New Roman" w:cs="Times New Roman"/>
          <w:sz w:val="32"/>
          <w:szCs w:val="32"/>
        </w:rPr>
        <w:t>要</w:t>
      </w:r>
      <w:r>
        <w:rPr>
          <w:rFonts w:ascii="Times New Roman" w:eastAsia="仿宋_GB2312" w:hAnsi="Times New Roman" w:cs="Times New Roman"/>
          <w:sz w:val="32"/>
          <w:szCs w:val="32"/>
        </w:rPr>
        <w:t>在办理业务时，书面告知外国投资者或外商投资企业通过</w:t>
      </w:r>
      <w:r>
        <w:rPr>
          <w:rFonts w:ascii="Times New Roman" w:eastAsia="仿宋_GB2312" w:hAnsi="Times New Roman" w:cs="Times New Roman"/>
          <w:sz w:val="32"/>
          <w:szCs w:val="32"/>
        </w:rPr>
        <w:t>企业登记系统</w:t>
      </w:r>
      <w:r>
        <w:rPr>
          <w:rFonts w:ascii="Times New Roman" w:eastAsia="仿宋_GB2312" w:hAnsi="Times New Roman" w:cs="Times New Roman"/>
          <w:sz w:val="32"/>
          <w:szCs w:val="32"/>
        </w:rPr>
        <w:t>提交初</w:t>
      </w:r>
      <w:r>
        <w:rPr>
          <w:rFonts w:ascii="Times New Roman" w:eastAsia="仿宋_GB2312" w:hAnsi="Times New Roman" w:cs="Times New Roman"/>
          <w:sz w:val="32"/>
          <w:szCs w:val="32"/>
        </w:rPr>
        <w:lastRenderedPageBreak/>
        <w:t>始、变更报告的法定义务，并告知违反义务的法律责任（见附</w:t>
      </w:r>
      <w:r>
        <w:rPr>
          <w:rFonts w:ascii="Times New Roman" w:eastAsia="仿宋_GB2312" w:hAnsi="Times New Roman" w:cs="Times New Roman"/>
          <w:sz w:val="32"/>
          <w:szCs w:val="32"/>
        </w:rPr>
        <w:t>例</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）。外国投资者股权并购境内非外商投资企业的，登记机关窗口</w:t>
      </w:r>
      <w:r>
        <w:rPr>
          <w:rFonts w:ascii="Times New Roman" w:eastAsia="仿宋_GB2312" w:hAnsi="Times New Roman" w:cs="Times New Roman"/>
          <w:sz w:val="32"/>
          <w:szCs w:val="32"/>
        </w:rPr>
        <w:t>要</w:t>
      </w:r>
      <w:r>
        <w:rPr>
          <w:rFonts w:ascii="Times New Roman" w:eastAsia="仿宋_GB2312" w:hAnsi="Times New Roman" w:cs="Times New Roman"/>
          <w:sz w:val="32"/>
          <w:szCs w:val="32"/>
        </w:rPr>
        <w:t>在为被并购企业办理变更登记时，</w:t>
      </w:r>
      <w:r>
        <w:rPr>
          <w:rFonts w:ascii="Times New Roman" w:eastAsia="仿宋_GB2312" w:hAnsi="Times New Roman" w:cs="Times New Roman" w:hint="eastAsia"/>
          <w:sz w:val="32"/>
          <w:szCs w:val="32"/>
        </w:rPr>
        <w:t>提示</w:t>
      </w:r>
      <w:r>
        <w:rPr>
          <w:rFonts w:ascii="Times New Roman" w:eastAsia="仿宋_GB2312" w:hAnsi="Times New Roman" w:cs="Times New Roman"/>
          <w:sz w:val="32"/>
          <w:szCs w:val="32"/>
        </w:rPr>
        <w:t>企业通过</w:t>
      </w:r>
      <w:r>
        <w:rPr>
          <w:rFonts w:ascii="Times New Roman" w:eastAsia="仿宋_GB2312" w:hAnsi="Times New Roman" w:cs="Times New Roman"/>
          <w:sz w:val="32"/>
          <w:szCs w:val="32"/>
        </w:rPr>
        <w:t>企业登记系统</w:t>
      </w:r>
      <w:r>
        <w:rPr>
          <w:rFonts w:ascii="Times New Roman" w:eastAsia="仿宋_GB2312" w:hAnsi="Times New Roman" w:cs="Times New Roman"/>
          <w:sz w:val="32"/>
          <w:szCs w:val="32"/>
        </w:rPr>
        <w:t>提交初始报告。</w:t>
      </w:r>
    </w:p>
    <w:p w:rsidR="00B417CD" w:rsidRDefault="00166166">
      <w:pPr>
        <w:pStyle w:val="a3"/>
        <w:adjustRightInd w:val="0"/>
        <w:snapToGrid w:val="0"/>
        <w:spacing w:line="360" w:lineRule="auto"/>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w:t>
      </w:r>
      <w:r>
        <w:rPr>
          <w:rFonts w:ascii="Times New Roman" w:eastAsia="黑体" w:hAnsi="Times New Roman" w:cs="Times New Roman"/>
          <w:sz w:val="32"/>
          <w:szCs w:val="32"/>
        </w:rPr>
        <w:t>完善</w:t>
      </w:r>
      <w:r>
        <w:rPr>
          <w:rFonts w:ascii="Times New Roman" w:eastAsia="黑体" w:hAnsi="Times New Roman" w:cs="Times New Roman"/>
          <w:sz w:val="32"/>
          <w:szCs w:val="32"/>
        </w:rPr>
        <w:t>系统填报功能和数据传输渠道</w:t>
      </w:r>
    </w:p>
    <w:p w:rsidR="00B417CD" w:rsidRDefault="00166166">
      <w:pPr>
        <w:pStyle w:val="a3"/>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各地商务、市场监管部门</w:t>
      </w:r>
      <w:r>
        <w:rPr>
          <w:rFonts w:ascii="Times New Roman" w:eastAsia="仿宋_GB2312" w:hAnsi="Times New Roman" w:cs="Times New Roman"/>
          <w:sz w:val="32"/>
          <w:szCs w:val="32"/>
        </w:rPr>
        <w:t>要</w:t>
      </w:r>
      <w:r>
        <w:rPr>
          <w:rFonts w:ascii="Times New Roman" w:eastAsia="仿宋_GB2312" w:hAnsi="Times New Roman" w:cs="Times New Roman"/>
          <w:sz w:val="32"/>
          <w:szCs w:val="32"/>
        </w:rPr>
        <w:t>共同做好系统完善和问题排查工作。各地市场监管部门</w:t>
      </w:r>
      <w:r>
        <w:rPr>
          <w:rFonts w:ascii="Times New Roman" w:eastAsia="仿宋_GB2312" w:hAnsi="Times New Roman" w:cs="Times New Roman"/>
          <w:sz w:val="32"/>
          <w:szCs w:val="32"/>
        </w:rPr>
        <w:t>要</w:t>
      </w:r>
      <w:r>
        <w:rPr>
          <w:rFonts w:ascii="Times New Roman" w:eastAsia="仿宋_GB2312" w:hAnsi="Times New Roman" w:cs="Times New Roman"/>
          <w:sz w:val="32"/>
          <w:szCs w:val="32"/>
        </w:rPr>
        <w:t>组织专门技术力量，加快推进系统改造和完善，确保实现《外商投资信息报告办法》及配套文件要求的各项功能。</w:t>
      </w:r>
    </w:p>
    <w:p w:rsidR="00B417CD" w:rsidRDefault="00166166">
      <w:pPr>
        <w:pStyle w:val="a3"/>
        <w:adjustRightInd w:val="0"/>
        <w:snapToGrid w:val="0"/>
        <w:spacing w:line="360" w:lineRule="auto"/>
        <w:ind w:firstLineChars="200" w:firstLine="643"/>
        <w:rPr>
          <w:rFonts w:ascii="Times New Roman" w:eastAsia="方正楷体" w:hAnsi="Times New Roman" w:cs="Times New Roman"/>
          <w:b/>
          <w:bCs/>
          <w:sz w:val="32"/>
          <w:szCs w:val="32"/>
        </w:rPr>
      </w:pPr>
      <w:r>
        <w:rPr>
          <w:rFonts w:ascii="Times New Roman" w:eastAsia="方正楷体" w:hAnsi="Times New Roman" w:cs="Times New Roman"/>
          <w:b/>
          <w:bCs/>
          <w:sz w:val="32"/>
          <w:szCs w:val="32"/>
        </w:rPr>
        <w:t>（</w:t>
      </w:r>
      <w:r>
        <w:rPr>
          <w:rFonts w:ascii="Times New Roman" w:eastAsia="方正楷体" w:hAnsi="Times New Roman" w:cs="Times New Roman"/>
          <w:b/>
          <w:bCs/>
          <w:sz w:val="32"/>
          <w:szCs w:val="32"/>
        </w:rPr>
        <w:t>一</w:t>
      </w:r>
      <w:r>
        <w:rPr>
          <w:rFonts w:ascii="Times New Roman" w:eastAsia="方正楷体" w:hAnsi="Times New Roman" w:cs="Times New Roman"/>
          <w:b/>
          <w:bCs/>
          <w:sz w:val="32"/>
          <w:szCs w:val="32"/>
        </w:rPr>
        <w:t>）企业登记信息和外资加挂信息须同时提交。</w:t>
      </w:r>
    </w:p>
    <w:p w:rsidR="00B417CD" w:rsidRDefault="00166166">
      <w:pPr>
        <w:pStyle w:val="a3"/>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外国投资者或者外商投资企业申请设立、变更登记时，应当一并填报外商投资初始、变更报告，并将登记信息项和</w:t>
      </w:r>
      <w:r>
        <w:rPr>
          <w:rFonts w:ascii="Times New Roman" w:eastAsia="仿宋_GB2312" w:hAnsi="Times New Roman" w:cs="Times New Roman" w:hint="eastAsia"/>
          <w:sz w:val="32"/>
          <w:szCs w:val="32"/>
        </w:rPr>
        <w:t>外资加挂信息项</w:t>
      </w:r>
      <w:r>
        <w:rPr>
          <w:rFonts w:ascii="Times New Roman" w:eastAsia="仿宋_GB2312" w:hAnsi="Times New Roman" w:cs="Times New Roman" w:hint="eastAsia"/>
          <w:sz w:val="32"/>
          <w:szCs w:val="32"/>
        </w:rPr>
        <w:t>同时提交（一个提交按钮），市场监管部门无须对外资加挂信息项的完整性和真实性进行审核。各地市场监管部门应当根据《外商投资信息报告登记系统改造技术方案》要求，于</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月底前</w:t>
      </w:r>
      <w:r>
        <w:rPr>
          <w:rFonts w:ascii="Times New Roman" w:eastAsia="仿宋_GB2312" w:hAnsi="Times New Roman" w:cs="Times New Roman" w:hint="eastAsia"/>
          <w:sz w:val="32"/>
          <w:szCs w:val="32"/>
        </w:rPr>
        <w:t>按照一个提交按钮的方式完成系统改造。</w:t>
      </w:r>
    </w:p>
    <w:p w:rsidR="00B417CD" w:rsidRDefault="00166166">
      <w:pPr>
        <w:pStyle w:val="a3"/>
        <w:adjustRightInd w:val="0"/>
        <w:snapToGrid w:val="0"/>
        <w:spacing w:line="360" w:lineRule="auto"/>
        <w:ind w:firstLineChars="200" w:firstLine="643"/>
        <w:rPr>
          <w:rFonts w:ascii="Times New Roman" w:eastAsia="方正楷体" w:hAnsi="Times New Roman" w:cs="Times New Roman"/>
          <w:b/>
          <w:bCs/>
          <w:sz w:val="32"/>
          <w:szCs w:val="32"/>
        </w:rPr>
      </w:pPr>
      <w:r>
        <w:rPr>
          <w:rFonts w:ascii="Times New Roman" w:eastAsia="方正楷体" w:hAnsi="Times New Roman" w:cs="Times New Roman"/>
          <w:b/>
          <w:bCs/>
          <w:sz w:val="32"/>
          <w:szCs w:val="32"/>
        </w:rPr>
        <w:t>（</w:t>
      </w:r>
      <w:r>
        <w:rPr>
          <w:rFonts w:ascii="Times New Roman" w:eastAsia="方正楷体" w:hAnsi="Times New Roman" w:cs="Times New Roman"/>
          <w:b/>
          <w:bCs/>
          <w:sz w:val="32"/>
          <w:szCs w:val="32"/>
        </w:rPr>
        <w:t>二</w:t>
      </w:r>
      <w:r>
        <w:rPr>
          <w:rFonts w:ascii="Times New Roman" w:eastAsia="方正楷体" w:hAnsi="Times New Roman" w:cs="Times New Roman"/>
          <w:b/>
          <w:bCs/>
          <w:sz w:val="32"/>
          <w:szCs w:val="32"/>
        </w:rPr>
        <w:t>）完善外资加挂信息变更报告功能。</w:t>
      </w:r>
    </w:p>
    <w:p w:rsidR="00B417CD" w:rsidRDefault="00166166">
      <w:pPr>
        <w:pStyle w:val="a3"/>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对于仅外资加挂信息项发生变更，不涉及设立、变更登记信息项变化的，</w:t>
      </w:r>
      <w:r>
        <w:rPr>
          <w:rFonts w:ascii="Times New Roman" w:eastAsia="仿宋_GB2312" w:hAnsi="Times New Roman" w:cs="Times New Roman"/>
          <w:sz w:val="32"/>
          <w:szCs w:val="32"/>
        </w:rPr>
        <w:t>企业登记系统</w:t>
      </w:r>
      <w:r>
        <w:rPr>
          <w:rFonts w:ascii="Times New Roman" w:eastAsia="仿宋_GB2312" w:hAnsi="Times New Roman" w:cs="Times New Roman"/>
          <w:sz w:val="32"/>
          <w:szCs w:val="32"/>
        </w:rPr>
        <w:t>应为外国投资者或外商投资企业提供提交变更报告的功能。</w:t>
      </w:r>
    </w:p>
    <w:p w:rsidR="00B417CD" w:rsidRDefault="00166166">
      <w:pPr>
        <w:pStyle w:val="a3"/>
        <w:adjustRightInd w:val="0"/>
        <w:snapToGrid w:val="0"/>
        <w:spacing w:line="360" w:lineRule="auto"/>
        <w:ind w:firstLineChars="200" w:firstLine="643"/>
        <w:rPr>
          <w:rFonts w:ascii="Times New Roman" w:eastAsia="方正楷体" w:hAnsi="Times New Roman" w:cs="Times New Roman"/>
          <w:b/>
          <w:bCs/>
          <w:sz w:val="32"/>
          <w:szCs w:val="32"/>
        </w:rPr>
      </w:pPr>
      <w:r>
        <w:rPr>
          <w:rFonts w:ascii="Times New Roman" w:eastAsia="方正楷体" w:hAnsi="Times New Roman" w:cs="Times New Roman"/>
          <w:b/>
          <w:bCs/>
          <w:sz w:val="32"/>
          <w:szCs w:val="32"/>
        </w:rPr>
        <w:t>（</w:t>
      </w:r>
      <w:r>
        <w:rPr>
          <w:rFonts w:ascii="Times New Roman" w:eastAsia="方正楷体" w:hAnsi="Times New Roman" w:cs="Times New Roman"/>
          <w:b/>
          <w:bCs/>
          <w:sz w:val="32"/>
          <w:szCs w:val="32"/>
        </w:rPr>
        <w:t>三</w:t>
      </w:r>
      <w:r>
        <w:rPr>
          <w:rFonts w:ascii="Times New Roman" w:eastAsia="方正楷体" w:hAnsi="Times New Roman" w:cs="Times New Roman"/>
          <w:b/>
          <w:bCs/>
          <w:sz w:val="32"/>
          <w:szCs w:val="32"/>
        </w:rPr>
        <w:t>）完善补报、更正渠道。</w:t>
      </w:r>
    </w:p>
    <w:p w:rsidR="00B417CD" w:rsidRDefault="00166166">
      <w:pPr>
        <w:pStyle w:val="a3"/>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对于初始、变更报告存在未报、错报、漏报的，</w:t>
      </w:r>
      <w:r>
        <w:rPr>
          <w:rFonts w:ascii="Times New Roman" w:eastAsia="仿宋_GB2312" w:hAnsi="Times New Roman" w:cs="Times New Roman"/>
          <w:sz w:val="32"/>
          <w:szCs w:val="32"/>
        </w:rPr>
        <w:t>企业登记系统</w:t>
      </w:r>
      <w:r>
        <w:rPr>
          <w:rFonts w:ascii="Times New Roman" w:eastAsia="仿宋_GB2312" w:hAnsi="Times New Roman" w:cs="Times New Roman"/>
          <w:sz w:val="32"/>
          <w:szCs w:val="32"/>
        </w:rPr>
        <w:t>应确保能通过提交变更报告的方式进行补报、更正。</w:t>
      </w:r>
    </w:p>
    <w:p w:rsidR="00B417CD" w:rsidRDefault="00166166">
      <w:pPr>
        <w:pStyle w:val="a3"/>
        <w:adjustRightInd w:val="0"/>
        <w:snapToGrid w:val="0"/>
        <w:ind w:firstLineChars="200" w:firstLine="643"/>
        <w:rPr>
          <w:rFonts w:ascii="Times New Roman" w:eastAsia="方正楷体" w:hAnsi="Times New Roman" w:cs="Times New Roman"/>
          <w:b/>
          <w:bCs/>
          <w:sz w:val="32"/>
          <w:szCs w:val="32"/>
        </w:rPr>
      </w:pPr>
      <w:r>
        <w:rPr>
          <w:rFonts w:ascii="Times New Roman" w:eastAsia="方正楷体" w:hAnsi="Times New Roman" w:cs="Times New Roman"/>
          <w:b/>
          <w:bCs/>
          <w:sz w:val="32"/>
          <w:szCs w:val="32"/>
        </w:rPr>
        <w:t>（四）及时排查解决问题。</w:t>
      </w:r>
    </w:p>
    <w:p w:rsidR="00B417CD" w:rsidRDefault="00166166">
      <w:pPr>
        <w:ind w:firstLine="640"/>
        <w:rPr>
          <w:rFonts w:ascii="Times New Roman" w:eastAsia="黑体" w:hAnsi="Times New Roman"/>
          <w:sz w:val="32"/>
          <w:szCs w:val="32"/>
        </w:rPr>
      </w:pPr>
      <w:r>
        <w:rPr>
          <w:rFonts w:ascii="Times New Roman" w:eastAsia="仿宋_GB2312" w:hAnsi="Times New Roman"/>
          <w:sz w:val="32"/>
          <w:szCs w:val="32"/>
        </w:rPr>
        <w:t>各地商务部门</w:t>
      </w:r>
      <w:r>
        <w:rPr>
          <w:rFonts w:ascii="Times New Roman" w:eastAsia="仿宋_GB2312" w:hAnsi="Times New Roman"/>
          <w:sz w:val="32"/>
          <w:szCs w:val="32"/>
        </w:rPr>
        <w:t>要</w:t>
      </w:r>
      <w:r>
        <w:rPr>
          <w:rFonts w:ascii="Times New Roman" w:eastAsia="仿宋_GB2312" w:hAnsi="Times New Roman"/>
          <w:sz w:val="32"/>
          <w:szCs w:val="32"/>
        </w:rPr>
        <w:t>每天对</w:t>
      </w:r>
      <w:r>
        <w:rPr>
          <w:rFonts w:ascii="Times New Roman" w:eastAsia="仿宋_GB2312" w:hAnsi="Times New Roman"/>
          <w:sz w:val="32"/>
          <w:szCs w:val="32"/>
        </w:rPr>
        <w:t>接收到的初始、变更报告数据开展核查，如果发现数据缺失、错漏，要通过与市场监管部门原始数据比对、联系报送主体确认等方式</w:t>
      </w:r>
      <w:r>
        <w:rPr>
          <w:rFonts w:ascii="Times New Roman" w:eastAsia="仿宋_GB2312" w:hAnsi="Times New Roman"/>
          <w:sz w:val="32"/>
          <w:szCs w:val="32"/>
        </w:rPr>
        <w:t>，确定出现问题的环节，并及时排查解决</w:t>
      </w:r>
      <w:r>
        <w:rPr>
          <w:rFonts w:ascii="Times New Roman" w:eastAsia="仿宋_GB2312" w:hAnsi="Times New Roman"/>
          <w:sz w:val="32"/>
          <w:szCs w:val="32"/>
        </w:rPr>
        <w:t>。各地市场监管部门要积极配合同级商务部门</w:t>
      </w:r>
      <w:r>
        <w:rPr>
          <w:rFonts w:ascii="Times New Roman" w:eastAsia="仿宋_GB2312" w:hAnsi="Times New Roman"/>
          <w:sz w:val="32"/>
          <w:szCs w:val="32"/>
        </w:rPr>
        <w:t>开展</w:t>
      </w:r>
      <w:r>
        <w:rPr>
          <w:rFonts w:ascii="Times New Roman" w:eastAsia="仿宋_GB2312" w:hAnsi="Times New Roman"/>
          <w:sz w:val="32"/>
          <w:szCs w:val="32"/>
        </w:rPr>
        <w:t>数据核查工</w:t>
      </w:r>
      <w:r>
        <w:rPr>
          <w:rFonts w:ascii="Times New Roman" w:eastAsia="仿宋_GB2312" w:hAnsi="Times New Roman"/>
          <w:sz w:val="32"/>
          <w:szCs w:val="32"/>
        </w:rPr>
        <w:t>作，</w:t>
      </w:r>
      <w:r>
        <w:rPr>
          <w:rFonts w:ascii="Times New Roman" w:eastAsia="仿宋_GB2312" w:hAnsi="Times New Roman" w:hint="eastAsia"/>
          <w:sz w:val="32"/>
          <w:szCs w:val="32"/>
        </w:rPr>
        <w:t>协助进行数据比对，</w:t>
      </w:r>
      <w:r>
        <w:rPr>
          <w:rFonts w:ascii="Times New Roman" w:eastAsia="仿宋_GB2312" w:hAnsi="Times New Roman"/>
          <w:sz w:val="32"/>
          <w:szCs w:val="32"/>
        </w:rPr>
        <w:t>及时解决</w:t>
      </w:r>
      <w:r>
        <w:rPr>
          <w:rFonts w:ascii="Times New Roman" w:eastAsia="仿宋_GB2312" w:hAnsi="Times New Roman" w:hint="eastAsia"/>
          <w:sz w:val="32"/>
          <w:szCs w:val="32"/>
        </w:rPr>
        <w:t>数据推送</w:t>
      </w:r>
      <w:r>
        <w:rPr>
          <w:rFonts w:ascii="Times New Roman" w:eastAsia="仿宋_GB2312" w:hAnsi="Times New Roman"/>
          <w:sz w:val="32"/>
          <w:szCs w:val="32"/>
        </w:rPr>
        <w:t>问题。</w:t>
      </w:r>
    </w:p>
    <w:p w:rsidR="00B417CD" w:rsidRDefault="00166166">
      <w:pPr>
        <w:pStyle w:val="a3"/>
        <w:adjustRightInd w:val="0"/>
        <w:snapToGrid w:val="0"/>
        <w:spacing w:line="360" w:lineRule="auto"/>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三、严格按照技术标准改造系统</w:t>
      </w:r>
    </w:p>
    <w:p w:rsidR="00B417CD" w:rsidRDefault="00166166">
      <w:pPr>
        <w:pStyle w:val="a3"/>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各地市场监管部门</w:t>
      </w:r>
      <w:r>
        <w:rPr>
          <w:rFonts w:ascii="Times New Roman" w:eastAsia="仿宋_GB2312" w:hAnsi="Times New Roman" w:cs="Times New Roman"/>
          <w:sz w:val="32"/>
          <w:szCs w:val="32"/>
        </w:rPr>
        <w:t>要</w:t>
      </w:r>
      <w:r>
        <w:rPr>
          <w:rFonts w:ascii="Times New Roman" w:eastAsia="仿宋_GB2312" w:hAnsi="Times New Roman" w:cs="Times New Roman"/>
          <w:sz w:val="32"/>
          <w:szCs w:val="32"/>
        </w:rPr>
        <w:t>严格依照《外商投资信息报告登记系统改造技术方案》进行数据项设计，</w:t>
      </w:r>
      <w:r>
        <w:rPr>
          <w:rFonts w:ascii="Times New Roman" w:eastAsia="仿宋_GB2312" w:hAnsi="Times New Roman" w:cs="Times New Roman"/>
          <w:sz w:val="32"/>
          <w:szCs w:val="32"/>
        </w:rPr>
        <w:t>及时、准确、完整地将外国投资者或外商投资企业初始、变更、注销报告信息推送至市场监管总局，并特别注意以下几项内容须严格按照技术方案开展系统改造</w:t>
      </w:r>
      <w:r>
        <w:rPr>
          <w:rFonts w:ascii="Times New Roman" w:eastAsia="仿宋_GB2312" w:hAnsi="Times New Roman" w:cs="Times New Roman"/>
          <w:sz w:val="32"/>
          <w:szCs w:val="32"/>
        </w:rPr>
        <w:t>：</w:t>
      </w:r>
    </w:p>
    <w:p w:rsidR="00B417CD" w:rsidRDefault="00166166">
      <w:pPr>
        <w:pStyle w:val="a3"/>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sz w:val="32"/>
          <w:szCs w:val="32"/>
        </w:rPr>
        <w:t>市场监管部门采集的出资信息（自然人出资信息</w:t>
      </w:r>
      <w:r>
        <w:rPr>
          <w:rFonts w:ascii="Times New Roman" w:eastAsia="仿宋_GB2312" w:hAnsi="Times New Roman" w:cs="Times New Roman"/>
          <w:sz w:val="32"/>
          <w:szCs w:val="32"/>
        </w:rPr>
        <w:t>E</w:t>
      </w:r>
      <w:r>
        <w:rPr>
          <w:rFonts w:ascii="Times New Roman" w:eastAsia="仿宋_GB2312" w:hAnsi="Times New Roman" w:cs="Times New Roman"/>
          <w:sz w:val="32"/>
          <w:szCs w:val="32"/>
        </w:rPr>
        <w:t>_INV_PERSON</w:t>
      </w:r>
      <w:r>
        <w:rPr>
          <w:rFonts w:ascii="Times New Roman" w:eastAsia="仿宋_GB2312" w:hAnsi="Times New Roman" w:cs="Times New Roman"/>
          <w:sz w:val="32"/>
          <w:szCs w:val="32"/>
        </w:rPr>
        <w:t>、非自然人出资信息</w:t>
      </w:r>
      <w:r>
        <w:rPr>
          <w:rFonts w:ascii="Times New Roman" w:eastAsia="仿宋_GB2312" w:hAnsi="Times New Roman" w:cs="Times New Roman"/>
          <w:sz w:val="32"/>
          <w:szCs w:val="32"/>
        </w:rPr>
        <w:t>E</w:t>
      </w:r>
      <w:r>
        <w:rPr>
          <w:rFonts w:ascii="Times New Roman" w:eastAsia="仿宋_GB2312" w:hAnsi="Times New Roman" w:cs="Times New Roman"/>
          <w:sz w:val="32"/>
          <w:szCs w:val="32"/>
        </w:rPr>
        <w:t>_INV_INVESTMENT</w:t>
      </w:r>
      <w:r>
        <w:rPr>
          <w:rFonts w:ascii="Times New Roman" w:eastAsia="仿宋_GB2312" w:hAnsi="Times New Roman" w:cs="Times New Roman"/>
          <w:sz w:val="32"/>
          <w:szCs w:val="32"/>
        </w:rPr>
        <w:t>）与外资加挂信息的出资信息</w:t>
      </w:r>
      <w:r>
        <w:rPr>
          <w:rFonts w:ascii="Times New Roman" w:eastAsia="仿宋_GB2312" w:hAnsi="Times New Roman" w:cs="Times New Roman"/>
          <w:sz w:val="32"/>
          <w:szCs w:val="32"/>
        </w:rPr>
        <w:t>E</w:t>
      </w:r>
      <w:r>
        <w:rPr>
          <w:rFonts w:ascii="Times New Roman" w:eastAsia="仿宋_GB2312" w:hAnsi="Times New Roman" w:cs="Times New Roman"/>
          <w:sz w:val="32"/>
          <w:szCs w:val="32"/>
        </w:rPr>
        <w:t>_WS_INVESTMENT</w:t>
      </w:r>
      <w:r>
        <w:rPr>
          <w:rFonts w:ascii="Times New Roman" w:eastAsia="仿宋_GB2312" w:hAnsi="Times New Roman" w:cs="Times New Roman"/>
          <w:sz w:val="32"/>
          <w:szCs w:val="32"/>
        </w:rPr>
        <w:t>、最终实际控制人</w:t>
      </w:r>
      <w:r>
        <w:rPr>
          <w:rFonts w:ascii="Times New Roman" w:eastAsia="仿宋_GB2312" w:hAnsi="Times New Roman" w:cs="Times New Roman"/>
          <w:sz w:val="32"/>
          <w:szCs w:val="32"/>
        </w:rPr>
        <w:t>E</w:t>
      </w:r>
      <w:r>
        <w:rPr>
          <w:rFonts w:ascii="Times New Roman" w:eastAsia="仿宋_GB2312" w:hAnsi="Times New Roman" w:cs="Times New Roman"/>
          <w:sz w:val="32"/>
          <w:szCs w:val="32"/>
        </w:rPr>
        <w:t>_WS_INVESTOR_CON</w:t>
      </w:r>
      <w:r>
        <w:rPr>
          <w:rFonts w:ascii="Times New Roman" w:eastAsia="仿宋_GB2312" w:hAnsi="Times New Roman" w:cs="Times New Roman"/>
          <w:sz w:val="32"/>
          <w:szCs w:val="32"/>
        </w:rPr>
        <w:t>、战略投资交易信息</w:t>
      </w:r>
      <w:r>
        <w:rPr>
          <w:rFonts w:ascii="Times New Roman" w:eastAsia="仿宋_GB2312" w:hAnsi="Times New Roman" w:cs="Times New Roman"/>
          <w:sz w:val="32"/>
          <w:szCs w:val="32"/>
        </w:rPr>
        <w:t>E</w:t>
      </w:r>
      <w:r>
        <w:rPr>
          <w:rFonts w:ascii="Times New Roman" w:eastAsia="仿宋_GB2312" w:hAnsi="Times New Roman" w:cs="Times New Roman"/>
          <w:sz w:val="32"/>
          <w:szCs w:val="32"/>
        </w:rPr>
        <w:t>_WS_INVESTOR_QSI</w:t>
      </w:r>
      <w:r>
        <w:rPr>
          <w:rFonts w:ascii="Times New Roman" w:eastAsia="仿宋_GB2312" w:hAnsi="Times New Roman" w:cs="Times New Roman"/>
          <w:sz w:val="32"/>
          <w:szCs w:val="32"/>
        </w:rPr>
        <w:t>应通过</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投资人身份标识</w:t>
      </w:r>
      <w:r>
        <w:rPr>
          <w:rFonts w:ascii="Times New Roman" w:eastAsia="仿宋_GB2312" w:hAnsi="Times New Roman" w:cs="Times New Roman"/>
          <w:sz w:val="32"/>
          <w:szCs w:val="32"/>
        </w:rPr>
        <w:t>INVID”</w:t>
      </w:r>
      <w:r>
        <w:rPr>
          <w:rFonts w:ascii="Times New Roman" w:eastAsia="仿宋_GB2312" w:hAnsi="Times New Roman" w:cs="Times New Roman"/>
          <w:sz w:val="32"/>
          <w:szCs w:val="32"/>
        </w:rPr>
        <w:t>对应关联。</w:t>
      </w:r>
      <w:r>
        <w:rPr>
          <w:rFonts w:ascii="Times New Roman" w:eastAsia="仿宋_GB2312" w:hAnsi="Times New Roman" w:cs="Times New Roman"/>
          <w:sz w:val="32"/>
          <w:szCs w:val="32"/>
        </w:rPr>
        <w:t>该关联问题关系到外资加挂信息的转化和应用，请各地务必重视，抓紧解决。</w:t>
      </w:r>
    </w:p>
    <w:p w:rsidR="00B417CD" w:rsidRDefault="00166166">
      <w:pPr>
        <w:pStyle w:val="a3"/>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sz w:val="32"/>
          <w:szCs w:val="32"/>
        </w:rPr>
        <w:t>外商基本信息</w:t>
      </w:r>
      <w:r>
        <w:rPr>
          <w:rFonts w:ascii="Times New Roman" w:eastAsia="仿宋_GB2312" w:hAnsi="Times New Roman" w:cs="Times New Roman"/>
          <w:sz w:val="32"/>
          <w:szCs w:val="32"/>
        </w:rPr>
        <w:t>E</w:t>
      </w:r>
      <w:r>
        <w:rPr>
          <w:rFonts w:ascii="Times New Roman" w:eastAsia="仿宋_GB2312" w:hAnsi="Times New Roman" w:cs="Times New Roman"/>
          <w:sz w:val="32"/>
          <w:szCs w:val="32"/>
        </w:rPr>
        <w:t>_WS_BASEINFO</w:t>
      </w:r>
      <w:r>
        <w:rPr>
          <w:rFonts w:ascii="Times New Roman" w:eastAsia="仿宋_GB2312" w:hAnsi="Times New Roman" w:cs="Times New Roman"/>
          <w:sz w:val="32"/>
          <w:szCs w:val="32"/>
        </w:rPr>
        <w:t>中的数据项</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w:t>
      </w:r>
      <w:r>
        <w:rPr>
          <w:rFonts w:ascii="Times New Roman" w:eastAsia="仿宋_GB2312" w:hAnsi="Times New Roman" w:cs="Times New Roman"/>
          <w:sz w:val="32"/>
          <w:szCs w:val="32"/>
        </w:rPr>
        <w:lastRenderedPageBreak/>
        <w:t>营行业</w:t>
      </w:r>
      <w:r>
        <w:rPr>
          <w:rFonts w:ascii="Times New Roman" w:eastAsia="仿宋_GB2312" w:hAnsi="Times New Roman" w:cs="Times New Roman"/>
          <w:sz w:val="32"/>
          <w:szCs w:val="32"/>
        </w:rPr>
        <w:t>MAIIND”</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w:t>
      </w:r>
      <w:r>
        <w:rPr>
          <w:rFonts w:ascii="Times New Roman" w:eastAsia="仿宋_GB2312" w:hAnsi="Times New Roman" w:cs="Times New Roman"/>
          <w:sz w:val="32"/>
          <w:szCs w:val="32"/>
        </w:rPr>
        <w:t>按数据规范要求使用代码集</w:t>
      </w:r>
      <w:r>
        <w:rPr>
          <w:rFonts w:ascii="Times New Roman" w:eastAsia="仿宋_GB2312" w:hAnsi="Times New Roman" w:cs="Times New Roman"/>
          <w:sz w:val="32"/>
          <w:szCs w:val="32"/>
        </w:rPr>
        <w:t>CW91</w:t>
      </w:r>
      <w:r>
        <w:rPr>
          <w:rFonts w:ascii="Times New Roman" w:eastAsia="仿宋_GB2312" w:hAnsi="Times New Roman" w:cs="Times New Roman"/>
          <w:sz w:val="32"/>
          <w:szCs w:val="32"/>
        </w:rPr>
        <w:t>国民经济行业代码（国标），且系统设计时，应要求企业填报至最小类行业。其他数据项代码集的使用，</w:t>
      </w:r>
      <w:r>
        <w:rPr>
          <w:rFonts w:ascii="Times New Roman" w:eastAsia="仿宋_GB2312" w:hAnsi="Times New Roman" w:cs="Times New Roman"/>
          <w:sz w:val="32"/>
          <w:szCs w:val="32"/>
        </w:rPr>
        <w:t>应</w:t>
      </w:r>
      <w:r>
        <w:rPr>
          <w:rFonts w:ascii="Times New Roman" w:eastAsia="仿宋_GB2312" w:hAnsi="Times New Roman" w:cs="Times New Roman"/>
          <w:sz w:val="32"/>
          <w:szCs w:val="32"/>
        </w:rPr>
        <w:t>严格参照《外商投资信息报告登记系统改造技术方案》和数据规范要求。</w:t>
      </w:r>
    </w:p>
    <w:p w:rsidR="00B417CD" w:rsidRDefault="00166166">
      <w:pPr>
        <w:pStyle w:val="a3"/>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w:t>
      </w:r>
      <w:r>
        <w:rPr>
          <w:rFonts w:ascii="Times New Roman" w:eastAsia="仿宋_GB2312" w:hAnsi="Times New Roman" w:cs="Times New Roman"/>
          <w:sz w:val="32"/>
          <w:szCs w:val="32"/>
        </w:rPr>
        <w:t>数据规范的备注标明为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否</w:t>
      </w:r>
      <w:r>
        <w:rPr>
          <w:rFonts w:ascii="Times New Roman" w:eastAsia="仿宋_GB2312" w:hAnsi="Times New Roman" w:cs="Times New Roman"/>
          <w:sz w:val="32"/>
          <w:szCs w:val="32"/>
        </w:rPr>
        <w:t>*0/</w:t>
      </w:r>
      <w:r>
        <w:rPr>
          <w:rFonts w:ascii="Times New Roman" w:eastAsia="仿宋_GB2312" w:hAnsi="Times New Roman" w:cs="Times New Roman"/>
          <w:sz w:val="32"/>
          <w:szCs w:val="32"/>
        </w:rPr>
        <w:t>是</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的数据项，</w:t>
      </w:r>
      <w:r>
        <w:rPr>
          <w:rFonts w:ascii="Times New Roman" w:eastAsia="仿宋_GB2312" w:hAnsi="Times New Roman" w:cs="Times New Roman"/>
          <w:sz w:val="32"/>
          <w:szCs w:val="32"/>
        </w:rPr>
        <w:t>应</w:t>
      </w:r>
      <w:r>
        <w:rPr>
          <w:rFonts w:ascii="Times New Roman" w:eastAsia="仿宋_GB2312" w:hAnsi="Times New Roman" w:cs="Times New Roman"/>
          <w:sz w:val="32"/>
          <w:szCs w:val="32"/>
        </w:rPr>
        <w:t>按要求设计并存储为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，请勿存储其他数据值。</w:t>
      </w:r>
    </w:p>
    <w:p w:rsidR="00B417CD" w:rsidRDefault="00166166">
      <w:pPr>
        <w:pStyle w:val="a3"/>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w:t>
      </w:r>
      <w:r>
        <w:rPr>
          <w:rFonts w:ascii="Times New Roman" w:eastAsia="仿宋_GB2312" w:hAnsi="Times New Roman" w:cs="Times New Roman"/>
          <w:sz w:val="32"/>
          <w:szCs w:val="32"/>
        </w:rPr>
        <w:t>变更备案信息</w:t>
      </w:r>
      <w:r>
        <w:rPr>
          <w:rFonts w:ascii="Times New Roman" w:eastAsia="仿宋_GB2312" w:hAnsi="Times New Roman" w:cs="Times New Roman"/>
          <w:sz w:val="32"/>
          <w:szCs w:val="32"/>
        </w:rPr>
        <w:t>E</w:t>
      </w:r>
      <w:r>
        <w:rPr>
          <w:rFonts w:ascii="Times New Roman" w:eastAsia="仿宋_GB2312" w:hAnsi="Times New Roman" w:cs="Times New Roman"/>
          <w:sz w:val="32"/>
          <w:szCs w:val="32"/>
        </w:rPr>
        <w:t>_ALTER_RECODER</w:t>
      </w:r>
      <w:r>
        <w:rPr>
          <w:rFonts w:ascii="Times New Roman" w:eastAsia="仿宋_GB2312" w:hAnsi="Times New Roman" w:cs="Times New Roman"/>
          <w:sz w:val="32"/>
          <w:szCs w:val="32"/>
        </w:rPr>
        <w:t>和外商信息变更</w:t>
      </w:r>
      <w:r>
        <w:rPr>
          <w:rFonts w:ascii="Times New Roman" w:eastAsia="仿宋_GB2312" w:hAnsi="Times New Roman" w:cs="Times New Roman"/>
          <w:sz w:val="32"/>
          <w:szCs w:val="32"/>
        </w:rPr>
        <w:t>E</w:t>
      </w:r>
      <w:r>
        <w:rPr>
          <w:rFonts w:ascii="Times New Roman" w:eastAsia="仿宋_GB2312" w:hAnsi="Times New Roman" w:cs="Times New Roman"/>
          <w:sz w:val="32"/>
          <w:szCs w:val="32"/>
        </w:rPr>
        <w:t>_WS_ALTER</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w:t>
      </w:r>
      <w:r>
        <w:rPr>
          <w:rFonts w:ascii="Times New Roman" w:eastAsia="仿宋_GB2312" w:hAnsi="Times New Roman" w:cs="Times New Roman"/>
          <w:sz w:val="32"/>
          <w:szCs w:val="32"/>
        </w:rPr>
        <w:t>准确记录变更事项、变更前内容、变更后内容和变更日期，并上传共享。</w:t>
      </w:r>
    </w:p>
    <w:p w:rsidR="00B417CD" w:rsidRDefault="00166166">
      <w:pPr>
        <w:pStyle w:val="a3"/>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w:t>
      </w:r>
      <w:r>
        <w:rPr>
          <w:rFonts w:ascii="Times New Roman" w:eastAsia="仿宋_GB2312" w:hAnsi="Times New Roman" w:cs="Times New Roman"/>
          <w:sz w:val="32"/>
          <w:szCs w:val="32"/>
        </w:rPr>
        <w:t>外资加挂信息中，下列数据只有相关业务发生时才能填写：</w:t>
      </w:r>
    </w:p>
    <w:tbl>
      <w:tblPr>
        <w:tblW w:w="8662" w:type="dxa"/>
        <w:tblInd w:w="93" w:type="dxa"/>
        <w:tblLayout w:type="fixed"/>
        <w:tblLook w:val="04A0" w:firstRow="1" w:lastRow="0" w:firstColumn="1" w:lastColumn="0" w:noHBand="0" w:noVBand="1"/>
      </w:tblPr>
      <w:tblGrid>
        <w:gridCol w:w="3558"/>
        <w:gridCol w:w="5104"/>
      </w:tblGrid>
      <w:tr w:rsidR="00B417CD">
        <w:trPr>
          <w:trHeight w:val="492"/>
        </w:trPr>
        <w:tc>
          <w:tcPr>
            <w:tcW w:w="3558" w:type="dxa"/>
            <w:tcBorders>
              <w:top w:val="single" w:sz="4" w:space="0" w:color="auto"/>
              <w:left w:val="single" w:sz="4" w:space="0" w:color="auto"/>
              <w:bottom w:val="single" w:sz="4" w:space="0" w:color="auto"/>
              <w:right w:val="single" w:sz="4" w:space="0" w:color="auto"/>
            </w:tcBorders>
            <w:vAlign w:val="center"/>
          </w:tcPr>
          <w:p w:rsidR="00B417CD" w:rsidRDefault="00166166">
            <w:pPr>
              <w:pStyle w:val="a3"/>
              <w:adjustRightInd w:val="0"/>
              <w:snapToGrid w:val="0"/>
              <w:spacing w:line="400" w:lineRule="exac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信息表名</w:t>
            </w:r>
          </w:p>
        </w:tc>
        <w:tc>
          <w:tcPr>
            <w:tcW w:w="5104" w:type="dxa"/>
            <w:tcBorders>
              <w:top w:val="single" w:sz="4" w:space="0" w:color="auto"/>
              <w:left w:val="nil"/>
              <w:bottom w:val="single" w:sz="4" w:space="0" w:color="auto"/>
              <w:right w:val="single" w:sz="4" w:space="0" w:color="auto"/>
            </w:tcBorders>
            <w:vAlign w:val="center"/>
          </w:tcPr>
          <w:p w:rsidR="00B417CD" w:rsidRDefault="00166166">
            <w:pPr>
              <w:pStyle w:val="a3"/>
              <w:adjustRightInd w:val="0"/>
              <w:snapToGrid w:val="0"/>
              <w:spacing w:line="400" w:lineRule="exac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填写要求</w:t>
            </w:r>
          </w:p>
        </w:tc>
      </w:tr>
      <w:tr w:rsidR="00B417CD">
        <w:trPr>
          <w:trHeight w:val="502"/>
        </w:trPr>
        <w:tc>
          <w:tcPr>
            <w:tcW w:w="3558" w:type="dxa"/>
            <w:tcBorders>
              <w:top w:val="nil"/>
              <w:left w:val="single" w:sz="4" w:space="0" w:color="auto"/>
              <w:bottom w:val="single" w:sz="4" w:space="0" w:color="auto"/>
              <w:right w:val="single" w:sz="4" w:space="0" w:color="auto"/>
            </w:tcBorders>
          </w:tcPr>
          <w:p w:rsidR="00B417CD" w:rsidRDefault="00166166">
            <w:pPr>
              <w:pStyle w:val="a3"/>
              <w:adjustRightInd w:val="0"/>
              <w:snapToGrid w:val="0"/>
              <w:spacing w:line="4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外商信息变更</w:t>
            </w:r>
          </w:p>
          <w:p w:rsidR="00B417CD" w:rsidRDefault="00166166">
            <w:pPr>
              <w:pStyle w:val="a3"/>
              <w:adjustRightInd w:val="0"/>
              <w:snapToGrid w:val="0"/>
              <w:spacing w:line="4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E</w:t>
            </w:r>
            <w:r>
              <w:rPr>
                <w:rFonts w:ascii="Times New Roman" w:eastAsia="仿宋_GB2312" w:hAnsi="Times New Roman" w:cs="Times New Roman"/>
                <w:sz w:val="24"/>
                <w:szCs w:val="24"/>
              </w:rPr>
              <w:t>_WS_ALTER</w:t>
            </w:r>
          </w:p>
        </w:tc>
        <w:tc>
          <w:tcPr>
            <w:tcW w:w="5104" w:type="dxa"/>
            <w:tcBorders>
              <w:top w:val="nil"/>
              <w:left w:val="nil"/>
              <w:bottom w:val="single" w:sz="4" w:space="0" w:color="auto"/>
              <w:right w:val="single" w:sz="4" w:space="0" w:color="auto"/>
            </w:tcBorders>
            <w:vAlign w:val="center"/>
          </w:tcPr>
          <w:p w:rsidR="00B417CD" w:rsidRDefault="00166166">
            <w:pPr>
              <w:pStyle w:val="a3"/>
              <w:adjustRightInd w:val="0"/>
              <w:snapToGrid w:val="0"/>
              <w:spacing w:line="4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设立时不能填写，变更时需填写。</w:t>
            </w:r>
          </w:p>
        </w:tc>
      </w:tr>
      <w:tr w:rsidR="00B417CD">
        <w:trPr>
          <w:trHeight w:val="90"/>
        </w:trPr>
        <w:tc>
          <w:tcPr>
            <w:tcW w:w="3558" w:type="dxa"/>
            <w:tcBorders>
              <w:top w:val="nil"/>
              <w:left w:val="single" w:sz="4" w:space="0" w:color="auto"/>
              <w:bottom w:val="single" w:sz="4" w:space="0" w:color="auto"/>
              <w:right w:val="single" w:sz="4" w:space="0" w:color="auto"/>
            </w:tcBorders>
            <w:vAlign w:val="center"/>
          </w:tcPr>
          <w:p w:rsidR="00B417CD" w:rsidRDefault="00166166">
            <w:pPr>
              <w:pStyle w:val="a3"/>
              <w:adjustRightInd w:val="0"/>
              <w:snapToGrid w:val="0"/>
              <w:spacing w:line="4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鼓励类项目信息</w:t>
            </w:r>
          </w:p>
          <w:p w:rsidR="00B417CD" w:rsidRDefault="00166166">
            <w:pPr>
              <w:pStyle w:val="a3"/>
              <w:adjustRightInd w:val="0"/>
              <w:snapToGrid w:val="0"/>
              <w:spacing w:line="4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E</w:t>
            </w:r>
            <w:r>
              <w:rPr>
                <w:rFonts w:ascii="Times New Roman" w:eastAsia="仿宋_GB2312" w:hAnsi="Times New Roman" w:cs="Times New Roman"/>
                <w:sz w:val="24"/>
                <w:szCs w:val="24"/>
              </w:rPr>
              <w:t>_WS_ENCOURAGE</w:t>
            </w:r>
          </w:p>
        </w:tc>
        <w:tc>
          <w:tcPr>
            <w:tcW w:w="5104" w:type="dxa"/>
            <w:tcBorders>
              <w:top w:val="nil"/>
              <w:left w:val="nil"/>
              <w:bottom w:val="single" w:sz="4" w:space="0" w:color="auto"/>
              <w:right w:val="single" w:sz="4" w:space="0" w:color="auto"/>
            </w:tcBorders>
            <w:vAlign w:val="center"/>
          </w:tcPr>
          <w:p w:rsidR="00B417CD" w:rsidRDefault="00166166">
            <w:pPr>
              <w:pStyle w:val="a3"/>
              <w:adjustRightInd w:val="0"/>
              <w:snapToGrid w:val="0"/>
              <w:spacing w:line="4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外商基本信息</w:t>
            </w:r>
            <w:r>
              <w:rPr>
                <w:rFonts w:ascii="Times New Roman" w:eastAsia="仿宋_GB2312" w:hAnsi="Times New Roman" w:cs="Times New Roman"/>
                <w:sz w:val="24"/>
                <w:szCs w:val="24"/>
              </w:rPr>
              <w:t>E</w:t>
            </w:r>
            <w:r>
              <w:rPr>
                <w:rFonts w:ascii="Times New Roman" w:eastAsia="仿宋_GB2312" w:hAnsi="Times New Roman" w:cs="Times New Roman"/>
                <w:sz w:val="24"/>
                <w:szCs w:val="24"/>
              </w:rPr>
              <w:t>_WS_BASEINFO</w:t>
            </w:r>
            <w:r>
              <w:rPr>
                <w:rFonts w:ascii="Times New Roman" w:eastAsia="仿宋_GB2312" w:hAnsi="Times New Roman" w:cs="Times New Roman"/>
                <w:sz w:val="24"/>
                <w:szCs w:val="24"/>
              </w:rPr>
              <w:t>中的</w:t>
            </w:r>
            <w:r>
              <w:rPr>
                <w:rFonts w:ascii="Times New Roman" w:eastAsia="仿宋_GB2312" w:hAnsi="Times New Roman" w:cs="Times New Roman"/>
                <w:sz w:val="24"/>
                <w:szCs w:val="24"/>
              </w:rPr>
              <w:t>“</w:t>
            </w:r>
            <w:r>
              <w:rPr>
                <w:rFonts w:ascii="Times New Roman" w:eastAsia="仿宋_GB2312" w:hAnsi="Times New Roman" w:cs="Times New Roman"/>
                <w:sz w:val="24"/>
                <w:szCs w:val="24"/>
              </w:rPr>
              <w:t>项目是否属于国家鼓励外商投资产业目录范围</w:t>
            </w:r>
            <w:r>
              <w:rPr>
                <w:rFonts w:ascii="Times New Roman" w:eastAsia="仿宋_GB2312" w:hAnsi="Times New Roman" w:cs="Times New Roman"/>
                <w:sz w:val="24"/>
                <w:szCs w:val="24"/>
              </w:rPr>
              <w:t>EXREDTAX”</w:t>
            </w:r>
            <w:r>
              <w:rPr>
                <w:rFonts w:ascii="Times New Roman" w:eastAsia="仿宋_GB2312" w:hAnsi="Times New Roman" w:cs="Times New Roman"/>
                <w:sz w:val="24"/>
                <w:szCs w:val="24"/>
              </w:rPr>
              <w:t>为</w:t>
            </w:r>
            <w:r>
              <w:rPr>
                <w:rFonts w:ascii="Times New Roman" w:eastAsia="仿宋_GB2312" w:hAnsi="Times New Roman" w:cs="Times New Roman"/>
                <w:sz w:val="24"/>
                <w:szCs w:val="24"/>
              </w:rPr>
              <w:t>“</w:t>
            </w:r>
            <w:r>
              <w:rPr>
                <w:rFonts w:ascii="Times New Roman" w:eastAsia="仿宋_GB2312" w:hAnsi="Times New Roman" w:cs="Times New Roman"/>
                <w:sz w:val="24"/>
                <w:szCs w:val="24"/>
              </w:rPr>
              <w:t>是</w:t>
            </w:r>
            <w:r>
              <w:rPr>
                <w:rFonts w:ascii="Times New Roman" w:eastAsia="仿宋_GB2312" w:hAnsi="Times New Roman" w:cs="Times New Roman"/>
                <w:sz w:val="24"/>
                <w:szCs w:val="24"/>
              </w:rPr>
              <w:t>”</w:t>
            </w:r>
            <w:r>
              <w:rPr>
                <w:rFonts w:ascii="Times New Roman" w:eastAsia="仿宋_GB2312" w:hAnsi="Times New Roman" w:cs="Times New Roman"/>
                <w:sz w:val="24"/>
                <w:szCs w:val="24"/>
              </w:rPr>
              <w:t>时需填写，否则不能填写。</w:t>
            </w:r>
          </w:p>
        </w:tc>
      </w:tr>
      <w:tr w:rsidR="00B417CD">
        <w:trPr>
          <w:trHeight w:val="1365"/>
        </w:trPr>
        <w:tc>
          <w:tcPr>
            <w:tcW w:w="3558" w:type="dxa"/>
            <w:tcBorders>
              <w:top w:val="nil"/>
              <w:left w:val="single" w:sz="4" w:space="0" w:color="auto"/>
              <w:bottom w:val="single" w:sz="4" w:space="0" w:color="auto"/>
              <w:right w:val="single" w:sz="4" w:space="0" w:color="auto"/>
            </w:tcBorders>
            <w:vAlign w:val="center"/>
          </w:tcPr>
          <w:p w:rsidR="00B417CD" w:rsidRDefault="00166166">
            <w:pPr>
              <w:pStyle w:val="a3"/>
              <w:adjustRightInd w:val="0"/>
              <w:snapToGrid w:val="0"/>
              <w:spacing w:line="40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被并购企业信息</w:t>
            </w:r>
          </w:p>
          <w:p w:rsidR="00B417CD" w:rsidRDefault="00166166">
            <w:pPr>
              <w:pStyle w:val="a3"/>
              <w:adjustRightInd w:val="0"/>
              <w:snapToGrid w:val="0"/>
              <w:spacing w:line="40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E</w:t>
            </w:r>
            <w:r>
              <w:rPr>
                <w:rFonts w:ascii="Times New Roman" w:eastAsia="仿宋_GB2312" w:hAnsi="Times New Roman" w:cs="Times New Roman"/>
                <w:sz w:val="24"/>
                <w:szCs w:val="24"/>
              </w:rPr>
              <w:t>_WS_MERGER</w:t>
            </w:r>
            <w:r>
              <w:rPr>
                <w:rFonts w:ascii="Times New Roman" w:eastAsia="仿宋_GB2312" w:hAnsi="Times New Roman" w:cs="Times New Roman"/>
                <w:sz w:val="24"/>
                <w:szCs w:val="24"/>
              </w:rPr>
              <w:br/>
            </w:r>
            <w:r>
              <w:rPr>
                <w:rFonts w:ascii="Times New Roman" w:eastAsia="仿宋_GB2312" w:hAnsi="Times New Roman" w:cs="Times New Roman"/>
                <w:sz w:val="24"/>
                <w:szCs w:val="24"/>
              </w:rPr>
              <w:t>被并购方信息</w:t>
            </w:r>
            <w:r>
              <w:rPr>
                <w:rFonts w:ascii="Times New Roman" w:eastAsia="仿宋_GB2312" w:hAnsi="Times New Roman" w:cs="Times New Roman"/>
                <w:sz w:val="24"/>
                <w:szCs w:val="24"/>
              </w:rPr>
              <w:t>E</w:t>
            </w:r>
            <w:r>
              <w:rPr>
                <w:rFonts w:ascii="Times New Roman" w:eastAsia="仿宋_GB2312" w:hAnsi="Times New Roman" w:cs="Times New Roman"/>
                <w:sz w:val="24"/>
                <w:szCs w:val="24"/>
              </w:rPr>
              <w:t>_WS_MERGER_TRANSFER</w:t>
            </w:r>
            <w:r>
              <w:rPr>
                <w:rFonts w:ascii="Times New Roman" w:eastAsia="仿宋_GB2312" w:hAnsi="Times New Roman" w:cs="Times New Roman"/>
                <w:sz w:val="24"/>
                <w:szCs w:val="24"/>
              </w:rPr>
              <w:br/>
            </w:r>
            <w:r>
              <w:rPr>
                <w:rFonts w:ascii="Times New Roman" w:eastAsia="仿宋_GB2312" w:hAnsi="Times New Roman" w:cs="Times New Roman"/>
                <w:sz w:val="24"/>
                <w:szCs w:val="24"/>
              </w:rPr>
              <w:t>被并购企业境内投资信息</w:t>
            </w:r>
            <w:r>
              <w:rPr>
                <w:rFonts w:ascii="Times New Roman" w:eastAsia="仿宋_GB2312" w:hAnsi="Times New Roman" w:cs="Times New Roman"/>
                <w:sz w:val="24"/>
                <w:szCs w:val="24"/>
              </w:rPr>
              <w:t>E</w:t>
            </w:r>
            <w:r>
              <w:rPr>
                <w:rFonts w:ascii="Times New Roman" w:eastAsia="仿宋_GB2312" w:hAnsi="Times New Roman" w:cs="Times New Roman"/>
                <w:sz w:val="24"/>
                <w:szCs w:val="24"/>
              </w:rPr>
              <w:t>_WS_MERGER_INVEST</w:t>
            </w:r>
          </w:p>
        </w:tc>
        <w:tc>
          <w:tcPr>
            <w:tcW w:w="5104" w:type="dxa"/>
            <w:tcBorders>
              <w:top w:val="nil"/>
              <w:left w:val="nil"/>
              <w:bottom w:val="single" w:sz="4" w:space="0" w:color="auto"/>
              <w:right w:val="single" w:sz="4" w:space="0" w:color="auto"/>
            </w:tcBorders>
            <w:vAlign w:val="center"/>
          </w:tcPr>
          <w:p w:rsidR="00B417CD" w:rsidRDefault="00166166">
            <w:pPr>
              <w:pStyle w:val="a3"/>
              <w:adjustRightInd w:val="0"/>
              <w:snapToGrid w:val="0"/>
              <w:spacing w:line="4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内资企业变更为外资企业时需填写，仅发生其他变更事项则不能填写。</w:t>
            </w:r>
          </w:p>
        </w:tc>
      </w:tr>
      <w:tr w:rsidR="00B417CD">
        <w:trPr>
          <w:trHeight w:val="2120"/>
        </w:trPr>
        <w:tc>
          <w:tcPr>
            <w:tcW w:w="3558" w:type="dxa"/>
            <w:tcBorders>
              <w:top w:val="nil"/>
              <w:left w:val="single" w:sz="4" w:space="0" w:color="auto"/>
              <w:bottom w:val="single" w:sz="4" w:space="0" w:color="auto"/>
              <w:right w:val="single" w:sz="4" w:space="0" w:color="auto"/>
            </w:tcBorders>
            <w:vAlign w:val="center"/>
          </w:tcPr>
          <w:p w:rsidR="00B417CD" w:rsidRDefault="00166166">
            <w:pPr>
              <w:pStyle w:val="a3"/>
              <w:adjustRightInd w:val="0"/>
              <w:snapToGrid w:val="0"/>
              <w:spacing w:line="40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战略投资交易信息</w:t>
            </w:r>
            <w:r>
              <w:rPr>
                <w:rFonts w:ascii="Times New Roman" w:eastAsia="仿宋_GB2312" w:hAnsi="Times New Roman" w:cs="Times New Roman"/>
                <w:sz w:val="24"/>
                <w:szCs w:val="24"/>
              </w:rPr>
              <w:t>E</w:t>
            </w:r>
            <w:r>
              <w:rPr>
                <w:rFonts w:ascii="Times New Roman" w:eastAsia="仿宋_GB2312" w:hAnsi="Times New Roman" w:cs="Times New Roman"/>
                <w:sz w:val="24"/>
                <w:szCs w:val="24"/>
              </w:rPr>
              <w:t>_WS_INVESTOR_QSI</w:t>
            </w:r>
          </w:p>
        </w:tc>
        <w:tc>
          <w:tcPr>
            <w:tcW w:w="5104" w:type="dxa"/>
            <w:tcBorders>
              <w:top w:val="nil"/>
              <w:left w:val="nil"/>
              <w:bottom w:val="single" w:sz="4" w:space="0" w:color="auto"/>
              <w:right w:val="single" w:sz="4" w:space="0" w:color="auto"/>
            </w:tcBorders>
            <w:vAlign w:val="center"/>
          </w:tcPr>
          <w:p w:rsidR="00B417CD" w:rsidRDefault="00166166">
            <w:pPr>
              <w:pStyle w:val="a3"/>
              <w:adjustRightInd w:val="0"/>
              <w:snapToGrid w:val="0"/>
              <w:spacing w:line="4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外商基本信息</w:t>
            </w:r>
            <w:r>
              <w:rPr>
                <w:rFonts w:ascii="Times New Roman" w:eastAsia="仿宋_GB2312" w:hAnsi="Times New Roman" w:cs="Times New Roman"/>
                <w:sz w:val="24"/>
                <w:szCs w:val="24"/>
              </w:rPr>
              <w:t>E</w:t>
            </w:r>
            <w:r>
              <w:rPr>
                <w:rFonts w:ascii="Times New Roman" w:eastAsia="仿宋_GB2312" w:hAnsi="Times New Roman" w:cs="Times New Roman"/>
                <w:sz w:val="24"/>
                <w:szCs w:val="24"/>
              </w:rPr>
              <w:t>_WS_BASEINFO</w:t>
            </w:r>
            <w:r>
              <w:rPr>
                <w:rFonts w:ascii="Times New Roman" w:eastAsia="仿宋_GB2312" w:hAnsi="Times New Roman" w:cs="Times New Roman"/>
                <w:sz w:val="24"/>
                <w:szCs w:val="24"/>
              </w:rPr>
              <w:t>中的</w:t>
            </w:r>
            <w:r>
              <w:rPr>
                <w:rFonts w:ascii="Times New Roman" w:eastAsia="仿宋_GB2312" w:hAnsi="Times New Roman" w:cs="Times New Roman"/>
                <w:sz w:val="24"/>
                <w:szCs w:val="24"/>
              </w:rPr>
              <w:t>“</w:t>
            </w:r>
            <w:r>
              <w:rPr>
                <w:rFonts w:ascii="Times New Roman" w:eastAsia="仿宋_GB2312" w:hAnsi="Times New Roman" w:cs="Times New Roman"/>
                <w:sz w:val="24"/>
                <w:szCs w:val="24"/>
              </w:rPr>
              <w:t>投资方式</w:t>
            </w:r>
            <w:r>
              <w:rPr>
                <w:rFonts w:ascii="Times New Roman" w:eastAsia="仿宋_GB2312" w:hAnsi="Times New Roman" w:cs="Times New Roman"/>
                <w:sz w:val="24"/>
                <w:szCs w:val="24"/>
              </w:rPr>
              <w:t>INVWAY”</w:t>
            </w:r>
            <w:r>
              <w:rPr>
                <w:rFonts w:ascii="Times New Roman" w:eastAsia="仿宋_GB2312" w:hAnsi="Times New Roman" w:cs="Times New Roman"/>
                <w:sz w:val="24"/>
                <w:szCs w:val="24"/>
              </w:rPr>
              <w:t>选择为</w:t>
            </w:r>
            <w:r>
              <w:rPr>
                <w:rFonts w:ascii="Times New Roman" w:eastAsia="仿宋_GB2312" w:hAnsi="Times New Roman" w:cs="Times New Roman"/>
                <w:sz w:val="24"/>
                <w:szCs w:val="24"/>
              </w:rPr>
              <w:t>“25</w:t>
            </w:r>
            <w:r>
              <w:rPr>
                <w:rFonts w:ascii="Times New Roman" w:eastAsia="仿宋_GB2312" w:hAnsi="Times New Roman" w:cs="Times New Roman"/>
                <w:sz w:val="24"/>
                <w:szCs w:val="24"/>
              </w:rPr>
              <w:t>外国投资者战略投资境内上市非外商投资企业</w:t>
            </w:r>
            <w:r>
              <w:rPr>
                <w:rFonts w:ascii="Times New Roman" w:eastAsia="仿宋_GB2312" w:hAnsi="Times New Roman" w:cs="Times New Roman"/>
                <w:sz w:val="24"/>
                <w:szCs w:val="24"/>
              </w:rPr>
              <w:t>”</w:t>
            </w:r>
            <w:r>
              <w:rPr>
                <w:rFonts w:ascii="Times New Roman" w:eastAsia="仿宋_GB2312" w:hAnsi="Times New Roman" w:cs="Times New Roman"/>
                <w:sz w:val="24"/>
                <w:szCs w:val="24"/>
              </w:rPr>
              <w:t>或</w:t>
            </w:r>
            <w:r>
              <w:rPr>
                <w:rFonts w:ascii="Times New Roman" w:eastAsia="仿宋_GB2312" w:hAnsi="Times New Roman" w:cs="Times New Roman"/>
                <w:sz w:val="24"/>
                <w:szCs w:val="24"/>
              </w:rPr>
              <w:t>“28</w:t>
            </w:r>
            <w:r>
              <w:rPr>
                <w:rFonts w:ascii="Times New Roman" w:eastAsia="仿宋_GB2312" w:hAnsi="Times New Roman" w:cs="Times New Roman"/>
                <w:sz w:val="24"/>
                <w:szCs w:val="24"/>
              </w:rPr>
              <w:t>外国投资者战略投资境内上市外商投资企业</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时需填写，否则不能填写。</w:t>
            </w:r>
          </w:p>
        </w:tc>
      </w:tr>
      <w:tr w:rsidR="00B417CD">
        <w:trPr>
          <w:trHeight w:val="1435"/>
        </w:trPr>
        <w:tc>
          <w:tcPr>
            <w:tcW w:w="3558" w:type="dxa"/>
            <w:tcBorders>
              <w:top w:val="nil"/>
              <w:left w:val="single" w:sz="4" w:space="0" w:color="auto"/>
              <w:bottom w:val="single" w:sz="4" w:space="0" w:color="auto"/>
              <w:right w:val="single" w:sz="4" w:space="0" w:color="auto"/>
            </w:tcBorders>
            <w:vAlign w:val="center"/>
          </w:tcPr>
          <w:p w:rsidR="00B417CD" w:rsidRDefault="00166166">
            <w:pPr>
              <w:pStyle w:val="a3"/>
              <w:adjustRightInd w:val="0"/>
              <w:snapToGrid w:val="0"/>
              <w:spacing w:line="40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外国（地区）企业基本信息</w:t>
            </w:r>
            <w:r>
              <w:rPr>
                <w:rFonts w:ascii="Times New Roman" w:eastAsia="仿宋_GB2312" w:hAnsi="Times New Roman" w:cs="Times New Roman"/>
                <w:sz w:val="24"/>
                <w:szCs w:val="24"/>
              </w:rPr>
              <w:t>E</w:t>
            </w:r>
            <w:r>
              <w:rPr>
                <w:rFonts w:ascii="Times New Roman" w:eastAsia="仿宋_GB2312" w:hAnsi="Times New Roman" w:cs="Times New Roman"/>
                <w:sz w:val="24"/>
                <w:szCs w:val="24"/>
              </w:rPr>
              <w:t>_WS_FABASEINFO</w:t>
            </w:r>
          </w:p>
        </w:tc>
        <w:tc>
          <w:tcPr>
            <w:tcW w:w="5104" w:type="dxa"/>
            <w:tcBorders>
              <w:top w:val="nil"/>
              <w:left w:val="nil"/>
              <w:bottom w:val="single" w:sz="4" w:space="0" w:color="auto"/>
              <w:right w:val="single" w:sz="4" w:space="0" w:color="auto"/>
            </w:tcBorders>
            <w:vAlign w:val="center"/>
          </w:tcPr>
          <w:p w:rsidR="00B417CD" w:rsidRDefault="00166166">
            <w:pPr>
              <w:pStyle w:val="a3"/>
              <w:adjustRightInd w:val="0"/>
              <w:snapToGrid w:val="0"/>
              <w:spacing w:line="4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市场主体类型为</w:t>
            </w:r>
            <w:r>
              <w:rPr>
                <w:rFonts w:ascii="Times New Roman" w:eastAsia="仿宋_GB2312" w:hAnsi="Times New Roman" w:cs="Times New Roman"/>
                <w:sz w:val="24"/>
                <w:szCs w:val="24"/>
              </w:rPr>
              <w:t>“7200</w:t>
            </w:r>
            <w:r>
              <w:rPr>
                <w:rFonts w:ascii="Times New Roman" w:eastAsia="仿宋_GB2312" w:hAnsi="Times New Roman" w:cs="Times New Roman"/>
                <w:sz w:val="24"/>
                <w:szCs w:val="24"/>
              </w:rPr>
              <w:t>外国企业常驻代表机构</w:t>
            </w:r>
            <w:r>
              <w:rPr>
                <w:rFonts w:ascii="Times New Roman" w:eastAsia="仿宋_GB2312" w:hAnsi="Times New Roman" w:cs="Times New Roman"/>
                <w:sz w:val="24"/>
                <w:szCs w:val="24"/>
              </w:rPr>
              <w:t>”</w:t>
            </w:r>
            <w:r>
              <w:rPr>
                <w:rFonts w:ascii="Times New Roman" w:eastAsia="仿宋_GB2312" w:hAnsi="Times New Roman" w:cs="Times New Roman"/>
                <w:sz w:val="24"/>
                <w:szCs w:val="24"/>
              </w:rPr>
              <w:t>或</w:t>
            </w:r>
            <w:r>
              <w:rPr>
                <w:rFonts w:ascii="Times New Roman" w:eastAsia="仿宋_GB2312" w:hAnsi="Times New Roman" w:cs="Times New Roman"/>
                <w:sz w:val="24"/>
                <w:szCs w:val="24"/>
              </w:rPr>
              <w:t>“7300</w:t>
            </w:r>
            <w:r>
              <w:rPr>
                <w:rFonts w:ascii="Times New Roman" w:eastAsia="仿宋_GB2312" w:hAnsi="Times New Roman" w:cs="Times New Roman"/>
                <w:sz w:val="24"/>
                <w:szCs w:val="24"/>
              </w:rPr>
              <w:t>外国</w:t>
            </w:r>
            <w:r>
              <w:rPr>
                <w:rFonts w:ascii="Times New Roman" w:eastAsia="仿宋_GB2312" w:hAnsi="Times New Roman" w:cs="Times New Roman"/>
                <w:sz w:val="24"/>
                <w:szCs w:val="24"/>
              </w:rPr>
              <w:t>（</w:t>
            </w:r>
            <w:r>
              <w:rPr>
                <w:rFonts w:ascii="Times New Roman" w:eastAsia="仿宋_GB2312" w:hAnsi="Times New Roman" w:cs="Times New Roman"/>
                <w:sz w:val="24"/>
                <w:szCs w:val="24"/>
              </w:rPr>
              <w:t>地区</w:t>
            </w:r>
            <w:r>
              <w:rPr>
                <w:rFonts w:ascii="Times New Roman" w:eastAsia="仿宋_GB2312" w:hAnsi="Times New Roman" w:cs="Times New Roman"/>
                <w:sz w:val="24"/>
                <w:szCs w:val="24"/>
              </w:rPr>
              <w:t>）</w:t>
            </w:r>
            <w:r>
              <w:rPr>
                <w:rFonts w:ascii="Times New Roman" w:eastAsia="仿宋_GB2312" w:hAnsi="Times New Roman" w:cs="Times New Roman"/>
                <w:sz w:val="24"/>
                <w:szCs w:val="24"/>
              </w:rPr>
              <w:t>企业在中国境内从事生产经营活动</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时填写，否则不能填写。</w:t>
            </w:r>
          </w:p>
        </w:tc>
      </w:tr>
      <w:tr w:rsidR="00B417CD">
        <w:trPr>
          <w:trHeight w:val="2135"/>
        </w:trPr>
        <w:tc>
          <w:tcPr>
            <w:tcW w:w="3558" w:type="dxa"/>
            <w:tcBorders>
              <w:top w:val="single" w:sz="4" w:space="0" w:color="auto"/>
              <w:left w:val="single" w:sz="4" w:space="0" w:color="auto"/>
              <w:bottom w:val="single" w:sz="4" w:space="0" w:color="auto"/>
              <w:right w:val="single" w:sz="4" w:space="0" w:color="auto"/>
            </w:tcBorders>
            <w:vAlign w:val="center"/>
          </w:tcPr>
          <w:p w:rsidR="00B417CD" w:rsidRDefault="00166166">
            <w:pPr>
              <w:pStyle w:val="a3"/>
              <w:adjustRightInd w:val="0"/>
              <w:snapToGrid w:val="0"/>
              <w:spacing w:line="40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出资</w:t>
            </w:r>
            <w:r>
              <w:rPr>
                <w:rFonts w:ascii="Times New Roman" w:eastAsia="仿宋_GB2312" w:hAnsi="Times New Roman" w:cs="Times New Roman"/>
                <w:sz w:val="24"/>
                <w:szCs w:val="24"/>
              </w:rPr>
              <w:t>信息</w:t>
            </w:r>
            <w:r>
              <w:rPr>
                <w:rFonts w:ascii="Times New Roman" w:eastAsia="仿宋_GB2312" w:hAnsi="Times New Roman" w:cs="Times New Roman"/>
                <w:sz w:val="24"/>
                <w:szCs w:val="24"/>
              </w:rPr>
              <w:t>E</w:t>
            </w:r>
            <w:r>
              <w:rPr>
                <w:rFonts w:ascii="Times New Roman" w:eastAsia="仿宋_GB2312" w:hAnsi="Times New Roman" w:cs="Times New Roman"/>
                <w:sz w:val="24"/>
                <w:szCs w:val="24"/>
              </w:rPr>
              <w:t>_WS_INVESTMENT</w:t>
            </w:r>
            <w:r>
              <w:rPr>
                <w:rFonts w:ascii="Times New Roman" w:eastAsia="仿宋_GB2312" w:hAnsi="Times New Roman" w:cs="Times New Roman"/>
                <w:sz w:val="24"/>
                <w:szCs w:val="24"/>
              </w:rPr>
              <w:t>中的数据项：</w:t>
            </w:r>
          </w:p>
          <w:p w:rsidR="00B417CD" w:rsidRDefault="00166166">
            <w:pPr>
              <w:pStyle w:val="a3"/>
              <w:adjustRightInd w:val="0"/>
              <w:snapToGrid w:val="0"/>
              <w:spacing w:line="40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转让方实际出资金额</w:t>
            </w:r>
            <w:r>
              <w:rPr>
                <w:rFonts w:ascii="Times New Roman" w:eastAsia="仿宋_GB2312" w:hAnsi="Times New Roman" w:cs="Times New Roman"/>
                <w:sz w:val="24"/>
                <w:szCs w:val="24"/>
              </w:rPr>
              <w:t>TRANSUBCONAM</w:t>
            </w:r>
            <w:r>
              <w:rPr>
                <w:rFonts w:ascii="Times New Roman" w:eastAsia="仿宋_GB2312" w:hAnsi="Times New Roman" w:cs="Times New Roman"/>
                <w:sz w:val="24"/>
                <w:szCs w:val="24"/>
              </w:rPr>
              <w:t>、</w:t>
            </w:r>
          </w:p>
          <w:p w:rsidR="00B417CD" w:rsidRDefault="00166166">
            <w:pPr>
              <w:pStyle w:val="a3"/>
              <w:adjustRightInd w:val="0"/>
              <w:snapToGrid w:val="0"/>
              <w:spacing w:line="40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支付对价</w:t>
            </w:r>
            <w:r>
              <w:rPr>
                <w:rFonts w:ascii="Times New Roman" w:eastAsia="仿宋_GB2312" w:hAnsi="Times New Roman" w:cs="Times New Roman"/>
                <w:sz w:val="24"/>
                <w:szCs w:val="24"/>
              </w:rPr>
              <w:t>PAYCON</w:t>
            </w:r>
          </w:p>
        </w:tc>
        <w:tc>
          <w:tcPr>
            <w:tcW w:w="5104" w:type="dxa"/>
            <w:tcBorders>
              <w:top w:val="single" w:sz="4" w:space="0" w:color="auto"/>
              <w:left w:val="nil"/>
              <w:bottom w:val="single" w:sz="4" w:space="0" w:color="auto"/>
              <w:right w:val="single" w:sz="4" w:space="0" w:color="auto"/>
            </w:tcBorders>
            <w:vAlign w:val="center"/>
          </w:tcPr>
          <w:p w:rsidR="00B417CD" w:rsidRDefault="00166166">
            <w:pPr>
              <w:pStyle w:val="a3"/>
              <w:adjustRightInd w:val="0"/>
              <w:snapToGrid w:val="0"/>
              <w:spacing w:line="4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发生股权转让事项时需填写，否则不能填写</w:t>
            </w:r>
            <w:r>
              <w:rPr>
                <w:rFonts w:ascii="Times New Roman" w:eastAsia="仿宋_GB2312" w:hAnsi="Times New Roman" w:cs="Times New Roman"/>
                <w:sz w:val="24"/>
                <w:szCs w:val="24"/>
              </w:rPr>
              <w:t>。</w:t>
            </w:r>
          </w:p>
        </w:tc>
      </w:tr>
    </w:tbl>
    <w:p w:rsidR="00B417CD" w:rsidRDefault="00166166">
      <w:pPr>
        <w:spacing w:line="594"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（六）对于部分代码的解释与调整</w:t>
      </w:r>
    </w:p>
    <w:p w:rsidR="00B417CD" w:rsidRDefault="00166166">
      <w:pPr>
        <w:spacing w:line="594"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1.CW87</w:t>
      </w:r>
      <w:r>
        <w:rPr>
          <w:rFonts w:ascii="Times New Roman" w:eastAsia="仿宋_GB2312" w:hAnsi="Times New Roman"/>
          <w:sz w:val="32"/>
          <w:szCs w:val="32"/>
        </w:rPr>
        <w:t>特别管理措施代码中，</w:t>
      </w:r>
      <w:r>
        <w:rPr>
          <w:rFonts w:ascii="Times New Roman" w:eastAsia="仿宋_GB2312" w:hAnsi="Times New Roman"/>
          <w:sz w:val="32"/>
          <w:szCs w:val="32"/>
        </w:rPr>
        <w:t>FI</w:t>
      </w:r>
      <w:r>
        <w:rPr>
          <w:rFonts w:ascii="Times New Roman" w:eastAsia="仿宋_GB2312" w:hAnsi="Times New Roman"/>
          <w:sz w:val="32"/>
          <w:szCs w:val="32"/>
        </w:rPr>
        <w:t>表示全国版特别管理措施</w:t>
      </w:r>
      <w:r>
        <w:rPr>
          <w:rFonts w:ascii="Times New Roman" w:eastAsia="仿宋_GB2312" w:hAnsi="Times New Roman"/>
          <w:sz w:val="32"/>
          <w:szCs w:val="32"/>
        </w:rPr>
        <w:t>(</w:t>
      </w:r>
      <w:r>
        <w:rPr>
          <w:rFonts w:ascii="Times New Roman" w:eastAsia="仿宋_GB2312" w:hAnsi="Times New Roman"/>
          <w:sz w:val="32"/>
          <w:szCs w:val="32"/>
        </w:rPr>
        <w:t>除自贸区</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FT</w:t>
      </w:r>
      <w:r>
        <w:rPr>
          <w:rFonts w:ascii="Times New Roman" w:eastAsia="仿宋_GB2312" w:hAnsi="Times New Roman"/>
          <w:sz w:val="32"/>
          <w:szCs w:val="32"/>
        </w:rPr>
        <w:t>表示自贸区特别管理措施。</w:t>
      </w:r>
    </w:p>
    <w:p w:rsidR="00B417CD" w:rsidRDefault="00166166">
      <w:pPr>
        <w:spacing w:line="594"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2.CA76</w:t>
      </w:r>
      <w:r>
        <w:rPr>
          <w:rFonts w:ascii="Times New Roman" w:eastAsia="仿宋_GB2312" w:hAnsi="Times New Roman"/>
          <w:sz w:val="32"/>
          <w:szCs w:val="32"/>
        </w:rPr>
        <w:t>中西部优势产业代码中，第</w:t>
      </w:r>
      <w:r>
        <w:rPr>
          <w:rFonts w:ascii="Times New Roman" w:eastAsia="仿宋_GB2312" w:hAnsi="Times New Roman"/>
          <w:sz w:val="32"/>
          <w:szCs w:val="32"/>
        </w:rPr>
        <w:t>2-3</w:t>
      </w:r>
      <w:r>
        <w:rPr>
          <w:rFonts w:ascii="Times New Roman" w:eastAsia="仿宋_GB2312" w:hAnsi="Times New Roman"/>
          <w:sz w:val="32"/>
          <w:szCs w:val="32"/>
        </w:rPr>
        <w:t>位数字为</w:t>
      </w:r>
      <w:r>
        <w:rPr>
          <w:rFonts w:ascii="Times New Roman" w:eastAsia="仿宋_GB2312" w:hAnsi="Times New Roman"/>
          <w:sz w:val="32"/>
          <w:szCs w:val="32"/>
        </w:rPr>
        <w:t>省级行政区划编码的前</w:t>
      </w:r>
      <w:r>
        <w:rPr>
          <w:rFonts w:ascii="Times New Roman" w:eastAsia="仿宋_GB2312" w:hAnsi="Times New Roman"/>
          <w:sz w:val="32"/>
          <w:szCs w:val="32"/>
        </w:rPr>
        <w:t>2</w:t>
      </w:r>
      <w:r>
        <w:rPr>
          <w:rFonts w:ascii="Times New Roman" w:eastAsia="仿宋_GB2312" w:hAnsi="Times New Roman"/>
          <w:sz w:val="32"/>
          <w:szCs w:val="32"/>
        </w:rPr>
        <w:t>位，例如</w:t>
      </w:r>
      <w:r>
        <w:rPr>
          <w:rFonts w:ascii="Times New Roman" w:eastAsia="仿宋_GB2312" w:hAnsi="Times New Roman"/>
          <w:sz w:val="32"/>
          <w:szCs w:val="32"/>
        </w:rPr>
        <w:t>U3425</w:t>
      </w:r>
      <w:r>
        <w:rPr>
          <w:rFonts w:ascii="Times New Roman" w:eastAsia="仿宋_GB2312" w:hAnsi="Times New Roman"/>
          <w:sz w:val="32"/>
          <w:szCs w:val="32"/>
        </w:rPr>
        <w:t>，</w:t>
      </w:r>
      <w:r>
        <w:rPr>
          <w:rFonts w:ascii="Times New Roman" w:eastAsia="仿宋_GB2312" w:hAnsi="Times New Roman"/>
          <w:sz w:val="32"/>
          <w:szCs w:val="32"/>
        </w:rPr>
        <w:t>34</w:t>
      </w:r>
      <w:r>
        <w:rPr>
          <w:rFonts w:ascii="Times New Roman" w:eastAsia="仿宋_GB2312" w:hAnsi="Times New Roman"/>
          <w:sz w:val="32"/>
          <w:szCs w:val="32"/>
        </w:rPr>
        <w:t>表示安徽省。填报时应当对应选择本省的中西部优势产业。</w:t>
      </w:r>
    </w:p>
    <w:p w:rsidR="00B417CD" w:rsidRDefault="00166166">
      <w:pPr>
        <w:spacing w:line="594"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CW90</w:t>
      </w:r>
      <w:r>
        <w:rPr>
          <w:rFonts w:ascii="Times New Roman" w:eastAsia="仿宋_GB2312" w:hAnsi="Times New Roman"/>
          <w:sz w:val="32"/>
          <w:szCs w:val="32"/>
        </w:rPr>
        <w:t>世界</w:t>
      </w:r>
      <w:r>
        <w:rPr>
          <w:rFonts w:ascii="Times New Roman" w:eastAsia="仿宋_GB2312" w:hAnsi="Times New Roman"/>
          <w:sz w:val="32"/>
          <w:szCs w:val="32"/>
        </w:rPr>
        <w:t>500</w:t>
      </w:r>
      <w:r>
        <w:rPr>
          <w:rFonts w:ascii="Times New Roman" w:eastAsia="仿宋_GB2312" w:hAnsi="Times New Roman"/>
          <w:sz w:val="32"/>
          <w:szCs w:val="32"/>
        </w:rPr>
        <w:t>强企业代码中企业名称重复。保留</w:t>
      </w:r>
      <w:r>
        <w:rPr>
          <w:rFonts w:ascii="Times New Roman" w:eastAsia="仿宋_GB2312" w:hAnsi="Times New Roman"/>
          <w:sz w:val="32"/>
          <w:szCs w:val="32"/>
        </w:rPr>
        <w:t>2017469‘ENTERPRISE PRODUCTS PARTNERS</w:t>
      </w:r>
      <w:r>
        <w:rPr>
          <w:rFonts w:ascii="Times New Roman" w:eastAsia="仿宋_GB2312" w:hAnsi="Times New Roman"/>
          <w:sz w:val="32"/>
          <w:szCs w:val="32"/>
        </w:rPr>
        <w:t>公司（</w:t>
      </w:r>
      <w:r>
        <w:rPr>
          <w:rFonts w:ascii="Times New Roman" w:eastAsia="仿宋_GB2312" w:hAnsi="Times New Roman"/>
          <w:sz w:val="32"/>
          <w:szCs w:val="32"/>
        </w:rPr>
        <w:t xml:space="preserve">ENTERPRISE PRODUCTS </w:t>
      </w:r>
      <w:r>
        <w:rPr>
          <w:rFonts w:ascii="Times New Roman" w:eastAsia="仿宋_GB2312" w:hAnsi="Times New Roman"/>
          <w:sz w:val="32"/>
          <w:szCs w:val="32"/>
        </w:rPr>
        <w:t>PARTNERS)’</w:t>
      </w:r>
      <w:r>
        <w:rPr>
          <w:rFonts w:ascii="Times New Roman" w:eastAsia="仿宋_GB2312" w:hAnsi="Times New Roman"/>
          <w:sz w:val="32"/>
          <w:szCs w:val="32"/>
        </w:rPr>
        <w:t>，删除</w:t>
      </w:r>
      <w:r>
        <w:rPr>
          <w:rFonts w:ascii="Times New Roman" w:eastAsia="仿宋_GB2312" w:hAnsi="Times New Roman"/>
          <w:sz w:val="32"/>
          <w:szCs w:val="32"/>
        </w:rPr>
        <w:t>2019337</w:t>
      </w:r>
      <w:r>
        <w:rPr>
          <w:rFonts w:ascii="Times New Roman" w:eastAsia="仿宋_GB2312" w:hAnsi="Times New Roman"/>
          <w:sz w:val="32"/>
          <w:szCs w:val="32"/>
        </w:rPr>
        <w:t>。</w:t>
      </w:r>
    </w:p>
    <w:p w:rsidR="00B417CD" w:rsidRDefault="00166166">
      <w:pPr>
        <w:spacing w:line="594"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调整外商投资年报中外商年报投资者信息（</w:t>
      </w:r>
      <w:r>
        <w:rPr>
          <w:rFonts w:ascii="Times New Roman" w:eastAsia="仿宋_GB2312" w:hAnsi="Times New Roman"/>
          <w:sz w:val="32"/>
          <w:szCs w:val="32"/>
        </w:rPr>
        <w:t>AN_WS_SUBCAPITAL</w:t>
      </w:r>
      <w:r>
        <w:rPr>
          <w:rFonts w:ascii="Times New Roman" w:eastAsia="仿宋_GB2312" w:hAnsi="Times New Roman"/>
          <w:sz w:val="32"/>
          <w:szCs w:val="32"/>
        </w:rPr>
        <w:t>）表中</w:t>
      </w:r>
      <w:r>
        <w:rPr>
          <w:rFonts w:ascii="Times New Roman" w:eastAsia="仿宋_GB2312" w:hAnsi="Times New Roman"/>
          <w:sz w:val="32"/>
          <w:szCs w:val="32"/>
        </w:rPr>
        <w:t>‘</w:t>
      </w:r>
      <w:r>
        <w:rPr>
          <w:rFonts w:ascii="Times New Roman" w:eastAsia="仿宋_GB2312" w:hAnsi="Times New Roman"/>
          <w:sz w:val="32"/>
          <w:szCs w:val="32"/>
        </w:rPr>
        <w:t>投资人</w:t>
      </w:r>
      <w:r>
        <w:rPr>
          <w:rFonts w:ascii="Times New Roman" w:eastAsia="仿宋_GB2312" w:hAnsi="Times New Roman"/>
          <w:sz w:val="32"/>
          <w:szCs w:val="32"/>
        </w:rPr>
        <w:t>ID</w:t>
      </w:r>
      <w:r>
        <w:rPr>
          <w:rFonts w:ascii="Times New Roman" w:eastAsia="仿宋_GB2312" w:hAnsi="Times New Roman"/>
          <w:sz w:val="32"/>
          <w:szCs w:val="32"/>
        </w:rPr>
        <w:t>（</w:t>
      </w:r>
      <w:r>
        <w:rPr>
          <w:rFonts w:ascii="Times New Roman" w:eastAsia="仿宋_GB2312" w:hAnsi="Times New Roman"/>
          <w:sz w:val="32"/>
          <w:szCs w:val="32"/>
        </w:rPr>
        <w:t>INVID</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字段，与市场监管企业年报股东及出资信息（</w:t>
      </w:r>
      <w:r>
        <w:rPr>
          <w:rFonts w:ascii="Times New Roman" w:eastAsia="仿宋_GB2312" w:hAnsi="Times New Roman"/>
          <w:sz w:val="32"/>
          <w:szCs w:val="32"/>
        </w:rPr>
        <w:t>AN_SUBCAPITAL</w:t>
      </w:r>
      <w:r>
        <w:rPr>
          <w:rFonts w:ascii="Times New Roman" w:eastAsia="仿宋_GB2312" w:hAnsi="Times New Roman"/>
          <w:sz w:val="32"/>
          <w:szCs w:val="32"/>
        </w:rPr>
        <w:t>）表中</w:t>
      </w:r>
      <w:r>
        <w:rPr>
          <w:rFonts w:ascii="Times New Roman" w:eastAsia="仿宋_GB2312" w:hAnsi="Times New Roman"/>
          <w:sz w:val="32"/>
          <w:szCs w:val="32"/>
        </w:rPr>
        <w:t>‘</w:t>
      </w:r>
      <w:r>
        <w:rPr>
          <w:rFonts w:ascii="Times New Roman" w:eastAsia="仿宋_GB2312" w:hAnsi="Times New Roman"/>
          <w:sz w:val="32"/>
          <w:szCs w:val="32"/>
        </w:rPr>
        <w:t>投资人</w:t>
      </w:r>
      <w:r>
        <w:rPr>
          <w:rFonts w:ascii="Times New Roman" w:eastAsia="仿宋_GB2312" w:hAnsi="Times New Roman"/>
          <w:sz w:val="32"/>
          <w:szCs w:val="32"/>
        </w:rPr>
        <w:t>ID</w:t>
      </w:r>
      <w:r>
        <w:rPr>
          <w:rFonts w:ascii="Times New Roman" w:eastAsia="仿宋_GB2312" w:hAnsi="Times New Roman"/>
          <w:sz w:val="32"/>
          <w:szCs w:val="32"/>
        </w:rPr>
        <w:t>（</w:t>
      </w:r>
      <w:r>
        <w:rPr>
          <w:rFonts w:ascii="Times New Roman" w:eastAsia="仿宋_GB2312" w:hAnsi="Times New Roman"/>
          <w:sz w:val="32"/>
          <w:szCs w:val="32"/>
        </w:rPr>
        <w:t>INVID</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字段一一对应一致。</w:t>
      </w:r>
    </w:p>
    <w:p w:rsidR="00B417CD" w:rsidRDefault="00166166">
      <w:pPr>
        <w:spacing w:line="594"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企业填报外商投资年报中投资者信息时，需要直接关联出年报中已填报的股东及</w:t>
      </w:r>
      <w:r>
        <w:rPr>
          <w:rFonts w:ascii="Times New Roman" w:eastAsia="仿宋_GB2312" w:hAnsi="Times New Roman" w:hint="eastAsia"/>
          <w:sz w:val="32"/>
          <w:szCs w:val="32"/>
        </w:rPr>
        <w:t>出资</w:t>
      </w:r>
      <w:r>
        <w:rPr>
          <w:rFonts w:ascii="Times New Roman" w:eastAsia="仿宋_GB2312" w:hAnsi="Times New Roman"/>
          <w:sz w:val="32"/>
          <w:szCs w:val="32"/>
        </w:rPr>
        <w:t>信息的股东，在对应的股东填报外商年报的投资者信息，保证与市场监管年报股东一致。</w:t>
      </w:r>
    </w:p>
    <w:p w:rsidR="00B417CD" w:rsidRDefault="00166166">
      <w:pPr>
        <w:spacing w:line="594" w:lineRule="exact"/>
        <w:ind w:firstLineChars="200" w:firstLine="640"/>
        <w:rPr>
          <w:rFonts w:ascii="Times New Roman" w:eastAsia="仿宋_GB2312" w:hAnsi="Times New Roman"/>
          <w:sz w:val="32"/>
          <w:szCs w:val="32"/>
          <w:lang w:bidi="ar"/>
        </w:rPr>
      </w:pPr>
      <w:r>
        <w:rPr>
          <w:rFonts w:ascii="Times New Roman" w:eastAsia="仿宋_GB2312" w:hAnsi="Times New Roman"/>
          <w:sz w:val="32"/>
          <w:szCs w:val="32"/>
        </w:rPr>
        <w:t>（七）做好对填报内容的提示工作。</w:t>
      </w:r>
      <w:r>
        <w:rPr>
          <w:rFonts w:ascii="Times New Roman" w:eastAsia="仿宋_GB2312" w:hAnsi="Times New Roman"/>
          <w:sz w:val="32"/>
          <w:szCs w:val="32"/>
          <w:lang w:bidi="ar"/>
        </w:rPr>
        <w:t>对于企业在填报过</w:t>
      </w:r>
      <w:r>
        <w:rPr>
          <w:rFonts w:ascii="Times New Roman" w:eastAsia="仿宋_GB2312" w:hAnsi="Times New Roman"/>
          <w:sz w:val="32"/>
          <w:szCs w:val="32"/>
          <w:lang w:bidi="ar"/>
        </w:rPr>
        <w:lastRenderedPageBreak/>
        <w:t>程中易出现错误的事项，应当在系统中做好</w:t>
      </w:r>
      <w:r>
        <w:rPr>
          <w:rFonts w:ascii="Times New Roman" w:eastAsia="仿宋_GB2312" w:hAnsi="Times New Roman"/>
          <w:sz w:val="32"/>
          <w:szCs w:val="32"/>
          <w:lang w:bidi="ar"/>
        </w:rPr>
        <w:t>说明和提示（如填写后提示：</w:t>
      </w:r>
      <w:r>
        <w:rPr>
          <w:rFonts w:ascii="Times New Roman" w:eastAsia="仿宋_GB2312" w:hAnsi="Times New Roman"/>
          <w:sz w:val="32"/>
          <w:szCs w:val="32"/>
          <w:lang w:bidi="ar"/>
        </w:rPr>
        <w:t>“</w:t>
      </w:r>
      <w:r>
        <w:rPr>
          <w:rFonts w:ascii="Times New Roman" w:eastAsia="仿宋_GB2312" w:hAnsi="Times New Roman"/>
          <w:sz w:val="32"/>
          <w:szCs w:val="32"/>
          <w:lang w:bidi="ar"/>
        </w:rPr>
        <w:t>您填写的注册资本为</w:t>
      </w:r>
      <w:r>
        <w:rPr>
          <w:rFonts w:ascii="Times New Roman" w:eastAsia="仿宋_GB2312" w:hAnsi="Times New Roman"/>
          <w:sz w:val="32"/>
          <w:szCs w:val="32"/>
          <w:lang w:bidi="ar"/>
        </w:rPr>
        <w:t>XX</w:t>
      </w:r>
      <w:r>
        <w:rPr>
          <w:rFonts w:ascii="Times New Roman" w:eastAsia="仿宋_GB2312" w:hAnsi="Times New Roman"/>
          <w:sz w:val="32"/>
          <w:szCs w:val="32"/>
          <w:lang w:bidi="ar"/>
        </w:rPr>
        <w:t>亿元，注册资本的填报单位为万元</w:t>
      </w:r>
      <w:r>
        <w:rPr>
          <w:rFonts w:ascii="Times New Roman" w:eastAsia="仿宋_GB2312" w:hAnsi="Times New Roman"/>
          <w:sz w:val="32"/>
          <w:szCs w:val="32"/>
          <w:lang w:bidi="ar"/>
        </w:rPr>
        <w:t>”</w:t>
      </w:r>
      <w:r>
        <w:rPr>
          <w:rFonts w:ascii="Times New Roman" w:eastAsia="仿宋_GB2312" w:hAnsi="Times New Roman"/>
          <w:sz w:val="32"/>
          <w:szCs w:val="32"/>
          <w:lang w:bidi="ar"/>
        </w:rPr>
        <w:t>）等，提升填报信息的准确性。</w:t>
      </w:r>
    </w:p>
    <w:p w:rsidR="00B417CD" w:rsidRDefault="00166166">
      <w:pPr>
        <w:ind w:firstLineChars="200" w:firstLine="640"/>
        <w:rPr>
          <w:rFonts w:ascii="Times New Roman" w:eastAsia="仿宋_GB2312" w:hAnsi="Times New Roman"/>
          <w:sz w:val="32"/>
          <w:szCs w:val="32"/>
        </w:rPr>
      </w:pPr>
      <w:r>
        <w:rPr>
          <w:rFonts w:ascii="Times New Roman" w:eastAsia="仿宋_GB2312" w:hAnsi="Times New Roman"/>
          <w:sz w:val="32"/>
          <w:szCs w:val="32"/>
          <w:lang w:bidi="ar"/>
        </w:rPr>
        <w:t>（八）</w:t>
      </w:r>
      <w:r>
        <w:rPr>
          <w:rFonts w:ascii="Times New Roman" w:eastAsia="仿宋_GB2312" w:hAnsi="Times New Roman"/>
          <w:sz w:val="32"/>
          <w:szCs w:val="32"/>
        </w:rPr>
        <w:t>增加推送</w:t>
      </w:r>
      <w:r>
        <w:rPr>
          <w:rFonts w:ascii="Times New Roman" w:eastAsia="仿宋_GB2312" w:hAnsi="Times New Roman"/>
          <w:sz w:val="32"/>
          <w:szCs w:val="32"/>
        </w:rPr>
        <w:t>外商投资</w:t>
      </w:r>
      <w:r>
        <w:rPr>
          <w:rFonts w:ascii="Times New Roman" w:eastAsia="仿宋_GB2312" w:hAnsi="Times New Roman"/>
          <w:sz w:val="32"/>
          <w:szCs w:val="32"/>
        </w:rPr>
        <w:t>企业转变为内资企业信息，信息需要以下数据项：统一社会信用代码，企业名称，变更前市场主体类型、变更后市场主体类型、变更日期。企业类型由外资企业转为内资企业后，各省将市场主体类型的变化信息上报总局数据中心，</w:t>
      </w:r>
      <w:r>
        <w:rPr>
          <w:rFonts w:ascii="Times New Roman" w:eastAsia="仿宋_GB2312" w:hAnsi="Times New Roman"/>
          <w:sz w:val="32"/>
          <w:szCs w:val="32"/>
        </w:rPr>
        <w:t>市场监管</w:t>
      </w:r>
      <w:r>
        <w:rPr>
          <w:rFonts w:ascii="Times New Roman" w:eastAsia="仿宋_GB2312" w:hAnsi="Times New Roman"/>
          <w:sz w:val="32"/>
          <w:szCs w:val="32"/>
        </w:rPr>
        <w:t>总局将信息推送商务部。</w:t>
      </w:r>
      <w:r>
        <w:rPr>
          <w:rFonts w:ascii="Times New Roman" w:eastAsia="仿宋_GB2312" w:hAnsi="Times New Roman" w:hint="eastAsia"/>
          <w:sz w:val="32"/>
          <w:szCs w:val="32"/>
        </w:rPr>
        <w:t>外资转内资信息更新周期，参照初始、变更报告。</w:t>
      </w:r>
    </w:p>
    <w:p w:rsidR="00B417CD" w:rsidRDefault="00166166">
      <w:pPr>
        <w:ind w:firstLineChars="200" w:firstLine="640"/>
        <w:rPr>
          <w:rFonts w:ascii="Times New Roman" w:eastAsia="仿宋_GB2312" w:hAnsi="Times New Roman"/>
          <w:sz w:val="32"/>
          <w:szCs w:val="32"/>
        </w:rPr>
      </w:pPr>
      <w:r>
        <w:rPr>
          <w:rFonts w:ascii="Times New Roman" w:eastAsia="仿宋_GB2312" w:hAnsi="Times New Roman"/>
          <w:sz w:val="32"/>
          <w:szCs w:val="32"/>
        </w:rPr>
        <w:t>信息表名为：外资转内资企业信息（</w:t>
      </w:r>
      <w:r>
        <w:rPr>
          <w:rFonts w:ascii="Times New Roman" w:eastAsia="仿宋_GB2312" w:hAnsi="Times New Roman"/>
          <w:sz w:val="32"/>
          <w:szCs w:val="32"/>
        </w:rPr>
        <w:t>E_WS_FITODI_ALTER</w:t>
      </w:r>
      <w:r>
        <w:rPr>
          <w:rFonts w:ascii="Times New Roman" w:eastAsia="仿宋_GB2312" w:hAnsi="Times New Roman"/>
          <w:sz w:val="32"/>
          <w:szCs w:val="32"/>
        </w:rPr>
        <w:t>），格式如下：</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4"/>
        <w:gridCol w:w="1635"/>
        <w:gridCol w:w="2070"/>
        <w:gridCol w:w="1017"/>
        <w:gridCol w:w="1005"/>
        <w:gridCol w:w="866"/>
      </w:tblGrid>
      <w:tr w:rsidR="00B417CD">
        <w:trPr>
          <w:trHeight w:val="794"/>
          <w:jc w:val="center"/>
        </w:trPr>
        <w:tc>
          <w:tcPr>
            <w:tcW w:w="2434" w:type="dxa"/>
            <w:vAlign w:val="center"/>
          </w:tcPr>
          <w:p w:rsidR="00B417CD" w:rsidRDefault="00166166">
            <w:pPr>
              <w:widowControl/>
              <w:jc w:val="center"/>
              <w:textAlignment w:val="center"/>
              <w:rPr>
                <w:rFonts w:ascii="Times New Roman" w:eastAsia="仿宋_GB2312" w:hAnsi="Times New Roman"/>
                <w:sz w:val="24"/>
              </w:rPr>
            </w:pPr>
            <w:r>
              <w:rPr>
                <w:rFonts w:ascii="Times New Roman" w:eastAsia="仿宋_GB2312" w:hAnsi="Times New Roman"/>
                <w:b/>
                <w:color w:val="000000"/>
                <w:kern w:val="0"/>
                <w:sz w:val="24"/>
                <w:lang w:bidi="ar"/>
              </w:rPr>
              <w:t>指标项名称</w:t>
            </w:r>
          </w:p>
        </w:tc>
        <w:tc>
          <w:tcPr>
            <w:tcW w:w="1635" w:type="dxa"/>
            <w:vAlign w:val="center"/>
          </w:tcPr>
          <w:p w:rsidR="00B417CD" w:rsidRDefault="00166166">
            <w:pPr>
              <w:widowControl/>
              <w:jc w:val="center"/>
              <w:textAlignment w:val="center"/>
              <w:rPr>
                <w:rFonts w:ascii="Times New Roman" w:eastAsia="仿宋_GB2312" w:hAnsi="Times New Roman"/>
                <w:sz w:val="24"/>
              </w:rPr>
            </w:pPr>
            <w:r>
              <w:rPr>
                <w:rFonts w:ascii="Times New Roman" w:eastAsia="仿宋_GB2312" w:hAnsi="Times New Roman"/>
                <w:b/>
                <w:color w:val="000000"/>
                <w:kern w:val="0"/>
                <w:sz w:val="24"/>
                <w:lang w:bidi="ar"/>
              </w:rPr>
              <w:t>字段名</w:t>
            </w:r>
          </w:p>
        </w:tc>
        <w:tc>
          <w:tcPr>
            <w:tcW w:w="2070" w:type="dxa"/>
            <w:vAlign w:val="center"/>
          </w:tcPr>
          <w:p w:rsidR="00B417CD" w:rsidRDefault="00166166">
            <w:pPr>
              <w:widowControl/>
              <w:jc w:val="center"/>
              <w:textAlignment w:val="center"/>
              <w:rPr>
                <w:rFonts w:ascii="Times New Roman" w:eastAsia="仿宋_GB2312" w:hAnsi="Times New Roman"/>
                <w:sz w:val="24"/>
              </w:rPr>
            </w:pPr>
            <w:r>
              <w:rPr>
                <w:rFonts w:ascii="Times New Roman" w:eastAsia="仿宋_GB2312" w:hAnsi="Times New Roman"/>
                <w:b/>
                <w:color w:val="000000"/>
                <w:kern w:val="0"/>
                <w:sz w:val="24"/>
                <w:lang w:bidi="ar"/>
              </w:rPr>
              <w:t>数据类型及格式</w:t>
            </w:r>
          </w:p>
        </w:tc>
        <w:tc>
          <w:tcPr>
            <w:tcW w:w="1017" w:type="dxa"/>
            <w:vAlign w:val="center"/>
          </w:tcPr>
          <w:p w:rsidR="00B417CD" w:rsidRDefault="00166166">
            <w:pPr>
              <w:widowControl/>
              <w:jc w:val="center"/>
              <w:textAlignment w:val="center"/>
              <w:rPr>
                <w:rFonts w:ascii="Times New Roman" w:eastAsia="仿宋_GB2312" w:hAnsi="Times New Roman"/>
                <w:sz w:val="24"/>
              </w:rPr>
            </w:pPr>
            <w:r>
              <w:rPr>
                <w:rFonts w:ascii="Times New Roman" w:eastAsia="仿宋_GB2312" w:hAnsi="Times New Roman"/>
                <w:b/>
                <w:color w:val="000000"/>
                <w:kern w:val="0"/>
                <w:sz w:val="24"/>
                <w:lang w:bidi="ar"/>
              </w:rPr>
              <w:t>代码标识符</w:t>
            </w:r>
          </w:p>
        </w:tc>
        <w:tc>
          <w:tcPr>
            <w:tcW w:w="1005" w:type="dxa"/>
            <w:vAlign w:val="center"/>
          </w:tcPr>
          <w:p w:rsidR="00B417CD" w:rsidRDefault="00166166">
            <w:pPr>
              <w:widowControl/>
              <w:jc w:val="center"/>
              <w:textAlignment w:val="center"/>
              <w:rPr>
                <w:rFonts w:ascii="Times New Roman" w:eastAsia="仿宋_GB2312" w:hAnsi="Times New Roman"/>
                <w:sz w:val="24"/>
              </w:rPr>
            </w:pPr>
            <w:r>
              <w:rPr>
                <w:rFonts w:ascii="Times New Roman" w:eastAsia="仿宋_GB2312" w:hAnsi="Times New Roman"/>
                <w:b/>
                <w:color w:val="000000"/>
                <w:kern w:val="0"/>
                <w:sz w:val="24"/>
                <w:lang w:bidi="ar"/>
              </w:rPr>
              <w:t>数据元标识符</w:t>
            </w:r>
          </w:p>
        </w:tc>
        <w:tc>
          <w:tcPr>
            <w:tcW w:w="866" w:type="dxa"/>
            <w:vAlign w:val="center"/>
          </w:tcPr>
          <w:p w:rsidR="00B417CD" w:rsidRDefault="00166166">
            <w:pPr>
              <w:widowControl/>
              <w:jc w:val="center"/>
              <w:textAlignment w:val="center"/>
              <w:rPr>
                <w:rFonts w:ascii="Times New Roman" w:eastAsia="仿宋_GB2312" w:hAnsi="Times New Roman"/>
                <w:b/>
                <w:color w:val="000000"/>
                <w:kern w:val="0"/>
                <w:sz w:val="24"/>
                <w:lang w:bidi="ar"/>
              </w:rPr>
            </w:pPr>
            <w:r>
              <w:rPr>
                <w:rFonts w:ascii="Times New Roman" w:eastAsia="仿宋_GB2312" w:hAnsi="Times New Roman"/>
                <w:b/>
                <w:color w:val="000000"/>
                <w:kern w:val="0"/>
                <w:sz w:val="24"/>
                <w:lang w:bidi="ar"/>
              </w:rPr>
              <w:t>备注</w:t>
            </w:r>
          </w:p>
        </w:tc>
      </w:tr>
      <w:tr w:rsidR="00B417CD">
        <w:trPr>
          <w:trHeight w:val="437"/>
          <w:jc w:val="center"/>
        </w:trPr>
        <w:tc>
          <w:tcPr>
            <w:tcW w:w="2434" w:type="dxa"/>
            <w:vAlign w:val="center"/>
          </w:tcPr>
          <w:p w:rsidR="00B417CD" w:rsidRDefault="00166166">
            <w:pPr>
              <w:widowControl/>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主体身份代码</w:t>
            </w:r>
          </w:p>
        </w:tc>
        <w:tc>
          <w:tcPr>
            <w:tcW w:w="1635" w:type="dxa"/>
            <w:vAlign w:val="center"/>
          </w:tcPr>
          <w:p w:rsidR="00B417CD" w:rsidRDefault="00166166">
            <w:pPr>
              <w:widowControl/>
              <w:jc w:val="lef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PRIPID</w:t>
            </w:r>
          </w:p>
        </w:tc>
        <w:tc>
          <w:tcPr>
            <w:tcW w:w="2070" w:type="dxa"/>
            <w:vAlign w:val="center"/>
          </w:tcPr>
          <w:p w:rsidR="00B417CD" w:rsidRDefault="00166166">
            <w:pPr>
              <w:widowControl/>
              <w:jc w:val="lef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VARCHAR2(36)</w:t>
            </w:r>
          </w:p>
        </w:tc>
        <w:tc>
          <w:tcPr>
            <w:tcW w:w="1017" w:type="dxa"/>
            <w:vAlign w:val="center"/>
          </w:tcPr>
          <w:p w:rsidR="00B417CD" w:rsidRDefault="00166166">
            <w:pPr>
              <w:widowControl/>
              <w:jc w:val="lef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CA14</w:t>
            </w:r>
          </w:p>
        </w:tc>
        <w:tc>
          <w:tcPr>
            <w:tcW w:w="1005" w:type="dxa"/>
            <w:vAlign w:val="center"/>
          </w:tcPr>
          <w:p w:rsidR="00B417CD" w:rsidRDefault="00166166">
            <w:pPr>
              <w:widowControl/>
              <w:jc w:val="lef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DA001</w:t>
            </w:r>
          </w:p>
        </w:tc>
        <w:tc>
          <w:tcPr>
            <w:tcW w:w="866" w:type="dxa"/>
            <w:vAlign w:val="center"/>
          </w:tcPr>
          <w:p w:rsidR="00B417CD" w:rsidRDefault="00B417CD">
            <w:pPr>
              <w:widowControl/>
              <w:jc w:val="center"/>
              <w:textAlignment w:val="center"/>
              <w:rPr>
                <w:rFonts w:ascii="Times New Roman" w:eastAsia="仿宋_GB2312" w:hAnsi="Times New Roman"/>
                <w:color w:val="000000"/>
                <w:kern w:val="0"/>
                <w:sz w:val="24"/>
                <w:lang w:bidi="ar"/>
              </w:rPr>
            </w:pPr>
          </w:p>
        </w:tc>
      </w:tr>
      <w:tr w:rsidR="00B417CD">
        <w:trPr>
          <w:trHeight w:val="437"/>
          <w:jc w:val="center"/>
        </w:trPr>
        <w:tc>
          <w:tcPr>
            <w:tcW w:w="2434" w:type="dxa"/>
            <w:vAlign w:val="center"/>
          </w:tcPr>
          <w:p w:rsidR="00B417CD" w:rsidRDefault="00166166">
            <w:pPr>
              <w:widowControl/>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统一社会信用代码</w:t>
            </w:r>
          </w:p>
        </w:tc>
        <w:tc>
          <w:tcPr>
            <w:tcW w:w="1635" w:type="dxa"/>
            <w:vAlign w:val="center"/>
          </w:tcPr>
          <w:p w:rsidR="00B417CD" w:rsidRDefault="00166166">
            <w:pPr>
              <w:widowControl/>
              <w:jc w:val="lef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UNISCID</w:t>
            </w:r>
          </w:p>
        </w:tc>
        <w:tc>
          <w:tcPr>
            <w:tcW w:w="2070" w:type="dxa"/>
            <w:vAlign w:val="center"/>
          </w:tcPr>
          <w:p w:rsidR="00B417CD" w:rsidRDefault="00166166">
            <w:pPr>
              <w:widowControl/>
              <w:jc w:val="lef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VARCHAR2(18)</w:t>
            </w:r>
          </w:p>
        </w:tc>
        <w:tc>
          <w:tcPr>
            <w:tcW w:w="1017" w:type="dxa"/>
            <w:vAlign w:val="center"/>
          </w:tcPr>
          <w:p w:rsidR="00B417CD" w:rsidRDefault="00166166">
            <w:pPr>
              <w:widowControl/>
              <w:jc w:val="lef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CA91</w:t>
            </w:r>
          </w:p>
        </w:tc>
        <w:tc>
          <w:tcPr>
            <w:tcW w:w="1005" w:type="dxa"/>
            <w:vAlign w:val="center"/>
          </w:tcPr>
          <w:p w:rsidR="00B417CD" w:rsidRDefault="00166166">
            <w:pPr>
              <w:widowControl/>
              <w:jc w:val="lef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DA063</w:t>
            </w:r>
          </w:p>
        </w:tc>
        <w:tc>
          <w:tcPr>
            <w:tcW w:w="866" w:type="dxa"/>
            <w:vAlign w:val="center"/>
          </w:tcPr>
          <w:p w:rsidR="00B417CD" w:rsidRDefault="00B417CD">
            <w:pPr>
              <w:widowControl/>
              <w:jc w:val="center"/>
              <w:textAlignment w:val="center"/>
              <w:rPr>
                <w:rFonts w:ascii="Times New Roman" w:eastAsia="仿宋_GB2312" w:hAnsi="Times New Roman"/>
                <w:color w:val="000000"/>
                <w:kern w:val="0"/>
                <w:sz w:val="24"/>
                <w:lang w:bidi="ar"/>
              </w:rPr>
            </w:pPr>
          </w:p>
        </w:tc>
      </w:tr>
      <w:tr w:rsidR="00B417CD">
        <w:trPr>
          <w:trHeight w:val="467"/>
          <w:jc w:val="center"/>
        </w:trPr>
        <w:tc>
          <w:tcPr>
            <w:tcW w:w="2434" w:type="dxa"/>
            <w:vAlign w:val="center"/>
          </w:tcPr>
          <w:p w:rsidR="00B417CD" w:rsidRDefault="00166166">
            <w:pPr>
              <w:widowControl/>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企业名称</w:t>
            </w:r>
          </w:p>
        </w:tc>
        <w:tc>
          <w:tcPr>
            <w:tcW w:w="1635" w:type="dxa"/>
            <w:vAlign w:val="center"/>
          </w:tcPr>
          <w:p w:rsidR="00B417CD" w:rsidRDefault="00166166">
            <w:pPr>
              <w:widowControl/>
              <w:jc w:val="lef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ENTNAME</w:t>
            </w:r>
          </w:p>
        </w:tc>
        <w:tc>
          <w:tcPr>
            <w:tcW w:w="2070" w:type="dxa"/>
            <w:vAlign w:val="center"/>
          </w:tcPr>
          <w:p w:rsidR="00B417CD" w:rsidRDefault="00166166">
            <w:pPr>
              <w:widowControl/>
              <w:jc w:val="lef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VARCHAR2(100)</w:t>
            </w:r>
          </w:p>
        </w:tc>
        <w:tc>
          <w:tcPr>
            <w:tcW w:w="1017" w:type="dxa"/>
            <w:vAlign w:val="center"/>
          </w:tcPr>
          <w:p w:rsidR="00B417CD" w:rsidRDefault="00B417CD">
            <w:pPr>
              <w:widowControl/>
              <w:jc w:val="left"/>
              <w:textAlignment w:val="center"/>
              <w:rPr>
                <w:rFonts w:ascii="Times New Roman" w:eastAsia="仿宋_GB2312" w:hAnsi="Times New Roman"/>
                <w:color w:val="000000"/>
                <w:kern w:val="0"/>
                <w:sz w:val="24"/>
                <w:lang w:bidi="ar"/>
              </w:rPr>
            </w:pPr>
          </w:p>
        </w:tc>
        <w:tc>
          <w:tcPr>
            <w:tcW w:w="1005" w:type="dxa"/>
            <w:vAlign w:val="center"/>
          </w:tcPr>
          <w:p w:rsidR="00B417CD" w:rsidRDefault="00166166">
            <w:pPr>
              <w:widowControl/>
              <w:jc w:val="lef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DA002</w:t>
            </w:r>
          </w:p>
        </w:tc>
        <w:tc>
          <w:tcPr>
            <w:tcW w:w="866" w:type="dxa"/>
            <w:vAlign w:val="center"/>
          </w:tcPr>
          <w:p w:rsidR="00B417CD" w:rsidRDefault="00B417CD">
            <w:pPr>
              <w:widowControl/>
              <w:jc w:val="center"/>
              <w:textAlignment w:val="center"/>
              <w:rPr>
                <w:rFonts w:ascii="Times New Roman" w:eastAsia="仿宋_GB2312" w:hAnsi="Times New Roman"/>
                <w:color w:val="000000"/>
                <w:kern w:val="0"/>
                <w:sz w:val="24"/>
                <w:lang w:bidi="ar"/>
              </w:rPr>
            </w:pPr>
          </w:p>
        </w:tc>
      </w:tr>
      <w:tr w:rsidR="00B417CD">
        <w:trPr>
          <w:trHeight w:val="497"/>
          <w:jc w:val="center"/>
        </w:trPr>
        <w:tc>
          <w:tcPr>
            <w:tcW w:w="2434" w:type="dxa"/>
            <w:vAlign w:val="center"/>
          </w:tcPr>
          <w:p w:rsidR="00B417CD" w:rsidRDefault="00166166">
            <w:pPr>
              <w:widowControl/>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变更前市场主体类型</w:t>
            </w:r>
          </w:p>
        </w:tc>
        <w:tc>
          <w:tcPr>
            <w:tcW w:w="1635" w:type="dxa"/>
            <w:vAlign w:val="center"/>
          </w:tcPr>
          <w:p w:rsidR="00B417CD" w:rsidRDefault="00166166">
            <w:pPr>
              <w:widowControl/>
              <w:jc w:val="lef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AltTypeBe</w:t>
            </w:r>
          </w:p>
        </w:tc>
        <w:tc>
          <w:tcPr>
            <w:tcW w:w="2070" w:type="dxa"/>
            <w:vAlign w:val="center"/>
          </w:tcPr>
          <w:p w:rsidR="00B417CD" w:rsidRDefault="00166166">
            <w:pPr>
              <w:widowControl/>
              <w:jc w:val="lef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VARCHAR2</w:t>
            </w:r>
            <w:r>
              <w:rPr>
                <w:rFonts w:ascii="Times New Roman" w:eastAsia="仿宋_GB2312" w:hAnsi="Times New Roman"/>
                <w:color w:val="000000"/>
                <w:kern w:val="0"/>
                <w:sz w:val="24"/>
                <w:lang w:bidi="ar"/>
              </w:rPr>
              <w:t>(</w:t>
            </w:r>
            <w:r>
              <w:rPr>
                <w:rFonts w:ascii="Times New Roman" w:eastAsia="仿宋_GB2312" w:hAnsi="Times New Roman"/>
                <w:color w:val="000000"/>
                <w:kern w:val="0"/>
                <w:sz w:val="24"/>
                <w:lang w:bidi="ar"/>
              </w:rPr>
              <w:t>4</w:t>
            </w:r>
            <w:r>
              <w:rPr>
                <w:rFonts w:ascii="Times New Roman" w:eastAsia="仿宋_GB2312" w:hAnsi="Times New Roman"/>
                <w:color w:val="000000"/>
                <w:kern w:val="0"/>
                <w:sz w:val="24"/>
                <w:lang w:bidi="ar"/>
              </w:rPr>
              <w:t>)</w:t>
            </w:r>
          </w:p>
        </w:tc>
        <w:tc>
          <w:tcPr>
            <w:tcW w:w="1017" w:type="dxa"/>
            <w:vAlign w:val="center"/>
          </w:tcPr>
          <w:p w:rsidR="00B417CD" w:rsidRDefault="00166166">
            <w:pPr>
              <w:widowControl/>
              <w:jc w:val="lef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CA16</w:t>
            </w:r>
          </w:p>
        </w:tc>
        <w:tc>
          <w:tcPr>
            <w:tcW w:w="1005" w:type="dxa"/>
            <w:vAlign w:val="center"/>
          </w:tcPr>
          <w:p w:rsidR="00B417CD" w:rsidRDefault="00166166">
            <w:pPr>
              <w:widowControl/>
              <w:jc w:val="lef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DW676</w:t>
            </w:r>
          </w:p>
        </w:tc>
        <w:tc>
          <w:tcPr>
            <w:tcW w:w="866" w:type="dxa"/>
            <w:vAlign w:val="center"/>
          </w:tcPr>
          <w:p w:rsidR="00B417CD" w:rsidRDefault="00B417CD">
            <w:pPr>
              <w:widowControl/>
              <w:jc w:val="center"/>
              <w:textAlignment w:val="center"/>
              <w:rPr>
                <w:rFonts w:ascii="Times New Roman" w:eastAsia="仿宋_GB2312" w:hAnsi="Times New Roman"/>
                <w:color w:val="000000"/>
                <w:kern w:val="0"/>
                <w:sz w:val="24"/>
                <w:lang w:bidi="ar"/>
              </w:rPr>
            </w:pPr>
          </w:p>
        </w:tc>
      </w:tr>
      <w:tr w:rsidR="00B417CD">
        <w:trPr>
          <w:trHeight w:val="764"/>
          <w:jc w:val="center"/>
        </w:trPr>
        <w:tc>
          <w:tcPr>
            <w:tcW w:w="2434" w:type="dxa"/>
            <w:vAlign w:val="center"/>
          </w:tcPr>
          <w:p w:rsidR="00B417CD" w:rsidRDefault="00166166">
            <w:pPr>
              <w:widowControl/>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变更前市场主体类型（中文）</w:t>
            </w:r>
          </w:p>
        </w:tc>
        <w:tc>
          <w:tcPr>
            <w:tcW w:w="1635" w:type="dxa"/>
            <w:vAlign w:val="center"/>
          </w:tcPr>
          <w:p w:rsidR="00B417CD" w:rsidRDefault="00166166">
            <w:pPr>
              <w:widowControl/>
              <w:jc w:val="lef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AltTypeBeCn</w:t>
            </w:r>
          </w:p>
        </w:tc>
        <w:tc>
          <w:tcPr>
            <w:tcW w:w="2070" w:type="dxa"/>
            <w:vAlign w:val="center"/>
          </w:tcPr>
          <w:p w:rsidR="00B417CD" w:rsidRDefault="00166166">
            <w:pPr>
              <w:widowControl/>
              <w:jc w:val="lef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VARCHAR2</w:t>
            </w:r>
            <w:r>
              <w:rPr>
                <w:rFonts w:ascii="Times New Roman" w:eastAsia="仿宋_GB2312" w:hAnsi="Times New Roman"/>
                <w:color w:val="000000"/>
                <w:kern w:val="0"/>
                <w:sz w:val="24"/>
                <w:lang w:bidi="ar"/>
              </w:rPr>
              <w:t>(</w:t>
            </w:r>
            <w:r>
              <w:rPr>
                <w:rFonts w:ascii="Times New Roman" w:eastAsia="仿宋_GB2312" w:hAnsi="Times New Roman"/>
                <w:color w:val="000000"/>
                <w:kern w:val="0"/>
                <w:sz w:val="24"/>
                <w:lang w:bidi="ar"/>
              </w:rPr>
              <w:t>100</w:t>
            </w:r>
            <w:r>
              <w:rPr>
                <w:rFonts w:ascii="Times New Roman" w:eastAsia="仿宋_GB2312" w:hAnsi="Times New Roman"/>
                <w:color w:val="000000"/>
                <w:kern w:val="0"/>
                <w:sz w:val="24"/>
                <w:lang w:bidi="ar"/>
              </w:rPr>
              <w:t>)</w:t>
            </w:r>
          </w:p>
        </w:tc>
        <w:tc>
          <w:tcPr>
            <w:tcW w:w="1017" w:type="dxa"/>
            <w:vAlign w:val="center"/>
          </w:tcPr>
          <w:p w:rsidR="00B417CD" w:rsidRDefault="00B417CD">
            <w:pPr>
              <w:widowControl/>
              <w:jc w:val="left"/>
              <w:textAlignment w:val="center"/>
              <w:rPr>
                <w:rFonts w:ascii="Times New Roman" w:eastAsia="仿宋_GB2312" w:hAnsi="Times New Roman"/>
                <w:color w:val="000000"/>
                <w:kern w:val="0"/>
                <w:sz w:val="24"/>
                <w:lang w:bidi="ar"/>
              </w:rPr>
            </w:pPr>
          </w:p>
        </w:tc>
        <w:tc>
          <w:tcPr>
            <w:tcW w:w="1005" w:type="dxa"/>
            <w:vAlign w:val="center"/>
          </w:tcPr>
          <w:p w:rsidR="00B417CD" w:rsidRDefault="00166166">
            <w:pPr>
              <w:widowControl/>
              <w:jc w:val="lef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DW677</w:t>
            </w:r>
          </w:p>
        </w:tc>
        <w:tc>
          <w:tcPr>
            <w:tcW w:w="866" w:type="dxa"/>
            <w:vAlign w:val="center"/>
          </w:tcPr>
          <w:p w:rsidR="00B417CD" w:rsidRDefault="00B417CD">
            <w:pPr>
              <w:widowControl/>
              <w:jc w:val="center"/>
              <w:textAlignment w:val="center"/>
              <w:rPr>
                <w:rFonts w:ascii="Times New Roman" w:eastAsia="仿宋_GB2312" w:hAnsi="Times New Roman"/>
                <w:color w:val="000000"/>
                <w:kern w:val="0"/>
                <w:sz w:val="24"/>
                <w:lang w:bidi="ar"/>
              </w:rPr>
            </w:pPr>
          </w:p>
        </w:tc>
      </w:tr>
      <w:tr w:rsidR="00B417CD">
        <w:trPr>
          <w:trHeight w:val="427"/>
          <w:jc w:val="center"/>
        </w:trPr>
        <w:tc>
          <w:tcPr>
            <w:tcW w:w="2434" w:type="dxa"/>
            <w:vAlign w:val="center"/>
          </w:tcPr>
          <w:p w:rsidR="00B417CD" w:rsidRDefault="00166166">
            <w:pPr>
              <w:widowControl/>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变更后市场主体类型</w:t>
            </w:r>
          </w:p>
        </w:tc>
        <w:tc>
          <w:tcPr>
            <w:tcW w:w="1635" w:type="dxa"/>
            <w:vAlign w:val="center"/>
          </w:tcPr>
          <w:p w:rsidR="00B417CD" w:rsidRDefault="00166166">
            <w:pPr>
              <w:widowControl/>
              <w:jc w:val="lef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AltTypeAf</w:t>
            </w:r>
          </w:p>
        </w:tc>
        <w:tc>
          <w:tcPr>
            <w:tcW w:w="2070" w:type="dxa"/>
            <w:vAlign w:val="center"/>
          </w:tcPr>
          <w:p w:rsidR="00B417CD" w:rsidRDefault="00166166">
            <w:pPr>
              <w:widowControl/>
              <w:jc w:val="lef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VARCHAR2</w:t>
            </w:r>
            <w:r>
              <w:rPr>
                <w:rFonts w:ascii="Times New Roman" w:eastAsia="仿宋_GB2312" w:hAnsi="Times New Roman"/>
                <w:color w:val="000000"/>
                <w:kern w:val="0"/>
                <w:sz w:val="24"/>
                <w:lang w:bidi="ar"/>
              </w:rPr>
              <w:t>(</w:t>
            </w:r>
            <w:r>
              <w:rPr>
                <w:rFonts w:ascii="Times New Roman" w:eastAsia="仿宋_GB2312" w:hAnsi="Times New Roman"/>
                <w:color w:val="000000"/>
                <w:kern w:val="0"/>
                <w:sz w:val="24"/>
                <w:lang w:bidi="ar"/>
              </w:rPr>
              <w:t>4</w:t>
            </w:r>
            <w:r>
              <w:rPr>
                <w:rFonts w:ascii="Times New Roman" w:eastAsia="仿宋_GB2312" w:hAnsi="Times New Roman"/>
                <w:color w:val="000000"/>
                <w:kern w:val="0"/>
                <w:sz w:val="24"/>
                <w:lang w:bidi="ar"/>
              </w:rPr>
              <w:t>)</w:t>
            </w:r>
          </w:p>
        </w:tc>
        <w:tc>
          <w:tcPr>
            <w:tcW w:w="1017" w:type="dxa"/>
            <w:vAlign w:val="center"/>
          </w:tcPr>
          <w:p w:rsidR="00B417CD" w:rsidRDefault="00166166">
            <w:pPr>
              <w:widowControl/>
              <w:jc w:val="lef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CA16</w:t>
            </w:r>
          </w:p>
        </w:tc>
        <w:tc>
          <w:tcPr>
            <w:tcW w:w="1005" w:type="dxa"/>
            <w:vAlign w:val="center"/>
          </w:tcPr>
          <w:p w:rsidR="00B417CD" w:rsidRDefault="00166166">
            <w:pPr>
              <w:widowControl/>
              <w:jc w:val="lef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DW678</w:t>
            </w:r>
          </w:p>
        </w:tc>
        <w:tc>
          <w:tcPr>
            <w:tcW w:w="866" w:type="dxa"/>
            <w:vAlign w:val="center"/>
          </w:tcPr>
          <w:p w:rsidR="00B417CD" w:rsidRDefault="00B417CD">
            <w:pPr>
              <w:widowControl/>
              <w:jc w:val="center"/>
              <w:textAlignment w:val="center"/>
              <w:rPr>
                <w:rFonts w:ascii="Times New Roman" w:eastAsia="仿宋_GB2312" w:hAnsi="Times New Roman"/>
                <w:color w:val="000000"/>
                <w:kern w:val="0"/>
                <w:sz w:val="24"/>
                <w:lang w:bidi="ar"/>
              </w:rPr>
            </w:pPr>
          </w:p>
        </w:tc>
      </w:tr>
      <w:tr w:rsidR="00B417CD">
        <w:trPr>
          <w:trHeight w:val="704"/>
          <w:jc w:val="center"/>
        </w:trPr>
        <w:tc>
          <w:tcPr>
            <w:tcW w:w="2434" w:type="dxa"/>
            <w:vAlign w:val="center"/>
          </w:tcPr>
          <w:p w:rsidR="00B417CD" w:rsidRDefault="00166166">
            <w:pPr>
              <w:widowControl/>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变更后市场主体类型（中文）</w:t>
            </w:r>
          </w:p>
        </w:tc>
        <w:tc>
          <w:tcPr>
            <w:tcW w:w="1635" w:type="dxa"/>
            <w:vAlign w:val="center"/>
          </w:tcPr>
          <w:p w:rsidR="00B417CD" w:rsidRDefault="00166166">
            <w:pPr>
              <w:widowControl/>
              <w:jc w:val="lef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AltTypeAfCn</w:t>
            </w:r>
          </w:p>
        </w:tc>
        <w:tc>
          <w:tcPr>
            <w:tcW w:w="2070" w:type="dxa"/>
            <w:vAlign w:val="center"/>
          </w:tcPr>
          <w:p w:rsidR="00B417CD" w:rsidRDefault="00166166">
            <w:pPr>
              <w:widowControl/>
              <w:jc w:val="lef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VARCHAR2</w:t>
            </w:r>
            <w:r>
              <w:rPr>
                <w:rFonts w:ascii="Times New Roman" w:eastAsia="仿宋_GB2312" w:hAnsi="Times New Roman"/>
                <w:color w:val="000000"/>
                <w:kern w:val="0"/>
                <w:sz w:val="24"/>
                <w:lang w:bidi="ar"/>
              </w:rPr>
              <w:t>(</w:t>
            </w:r>
            <w:r>
              <w:rPr>
                <w:rFonts w:ascii="Times New Roman" w:eastAsia="仿宋_GB2312" w:hAnsi="Times New Roman"/>
                <w:color w:val="000000"/>
                <w:kern w:val="0"/>
                <w:sz w:val="24"/>
                <w:lang w:bidi="ar"/>
              </w:rPr>
              <w:t>100</w:t>
            </w:r>
            <w:r>
              <w:rPr>
                <w:rFonts w:ascii="Times New Roman" w:eastAsia="仿宋_GB2312" w:hAnsi="Times New Roman"/>
                <w:color w:val="000000"/>
                <w:kern w:val="0"/>
                <w:sz w:val="24"/>
                <w:lang w:bidi="ar"/>
              </w:rPr>
              <w:t>)</w:t>
            </w:r>
          </w:p>
        </w:tc>
        <w:tc>
          <w:tcPr>
            <w:tcW w:w="1017" w:type="dxa"/>
            <w:vAlign w:val="center"/>
          </w:tcPr>
          <w:p w:rsidR="00B417CD" w:rsidRDefault="00B417CD">
            <w:pPr>
              <w:widowControl/>
              <w:jc w:val="left"/>
              <w:textAlignment w:val="center"/>
              <w:rPr>
                <w:rFonts w:ascii="Times New Roman" w:eastAsia="仿宋_GB2312" w:hAnsi="Times New Roman"/>
                <w:color w:val="000000"/>
                <w:kern w:val="0"/>
                <w:sz w:val="24"/>
                <w:lang w:bidi="ar"/>
              </w:rPr>
            </w:pPr>
          </w:p>
        </w:tc>
        <w:tc>
          <w:tcPr>
            <w:tcW w:w="1005" w:type="dxa"/>
            <w:vAlign w:val="center"/>
          </w:tcPr>
          <w:p w:rsidR="00B417CD" w:rsidRDefault="00166166">
            <w:pPr>
              <w:widowControl/>
              <w:jc w:val="left"/>
              <w:textAlignment w:val="center"/>
              <w:rPr>
                <w:rFonts w:ascii="Times New Roman" w:eastAsia="仿宋_GB2312" w:hAnsi="Times New Roman"/>
                <w:color w:val="000000"/>
                <w:kern w:val="0"/>
                <w:sz w:val="24"/>
                <w:lang w:bidi="ar"/>
              </w:rPr>
            </w:pPr>
            <w:r>
              <w:rPr>
                <w:rFonts w:ascii="Times New Roman" w:eastAsia="仿宋_GB2312" w:hAnsi="Times New Roman"/>
                <w:color w:val="000000"/>
                <w:kern w:val="0"/>
                <w:sz w:val="24"/>
                <w:lang w:bidi="ar"/>
              </w:rPr>
              <w:t>DW679</w:t>
            </w:r>
          </w:p>
        </w:tc>
        <w:tc>
          <w:tcPr>
            <w:tcW w:w="866" w:type="dxa"/>
            <w:vAlign w:val="center"/>
          </w:tcPr>
          <w:p w:rsidR="00B417CD" w:rsidRDefault="00B417CD">
            <w:pPr>
              <w:widowControl/>
              <w:jc w:val="center"/>
              <w:textAlignment w:val="center"/>
              <w:rPr>
                <w:rFonts w:ascii="Times New Roman" w:eastAsia="仿宋_GB2312" w:hAnsi="Times New Roman"/>
                <w:color w:val="000000"/>
                <w:kern w:val="0"/>
                <w:sz w:val="24"/>
                <w:lang w:bidi="ar"/>
              </w:rPr>
            </w:pPr>
          </w:p>
        </w:tc>
      </w:tr>
      <w:tr w:rsidR="00B417CD">
        <w:trPr>
          <w:trHeight w:val="477"/>
          <w:jc w:val="center"/>
        </w:trPr>
        <w:tc>
          <w:tcPr>
            <w:tcW w:w="2434" w:type="dxa"/>
            <w:vAlign w:val="center"/>
          </w:tcPr>
          <w:p w:rsidR="00B417CD" w:rsidRDefault="00166166">
            <w:pPr>
              <w:widowControl/>
              <w:textAlignment w:val="center"/>
              <w:rPr>
                <w:rFonts w:ascii="Times New Roman" w:eastAsia="仿宋_GB2312" w:hAnsi="Times New Roman"/>
                <w:sz w:val="24"/>
              </w:rPr>
            </w:pPr>
            <w:r>
              <w:rPr>
                <w:rFonts w:ascii="Times New Roman" w:eastAsia="仿宋_GB2312" w:hAnsi="Times New Roman"/>
                <w:color w:val="000000"/>
                <w:kern w:val="0"/>
                <w:sz w:val="24"/>
                <w:lang w:bidi="ar"/>
              </w:rPr>
              <w:t>变更日期</w:t>
            </w:r>
          </w:p>
        </w:tc>
        <w:tc>
          <w:tcPr>
            <w:tcW w:w="1635" w:type="dxa"/>
            <w:vAlign w:val="center"/>
          </w:tcPr>
          <w:p w:rsidR="00B417CD" w:rsidRDefault="00166166">
            <w:pPr>
              <w:widowControl/>
              <w:jc w:val="left"/>
              <w:textAlignment w:val="center"/>
              <w:rPr>
                <w:rFonts w:ascii="Times New Roman" w:eastAsia="仿宋_GB2312" w:hAnsi="Times New Roman"/>
                <w:sz w:val="24"/>
              </w:rPr>
            </w:pPr>
            <w:r>
              <w:rPr>
                <w:rFonts w:ascii="Times New Roman" w:eastAsia="仿宋_GB2312" w:hAnsi="Times New Roman"/>
                <w:color w:val="000000"/>
                <w:kern w:val="0"/>
                <w:sz w:val="24"/>
                <w:lang w:bidi="ar"/>
              </w:rPr>
              <w:t>AltDate</w:t>
            </w:r>
          </w:p>
        </w:tc>
        <w:tc>
          <w:tcPr>
            <w:tcW w:w="2070" w:type="dxa"/>
            <w:vAlign w:val="center"/>
          </w:tcPr>
          <w:p w:rsidR="00B417CD" w:rsidRDefault="00166166">
            <w:pPr>
              <w:widowControl/>
              <w:jc w:val="left"/>
              <w:textAlignment w:val="center"/>
              <w:rPr>
                <w:rFonts w:ascii="Times New Roman" w:eastAsia="仿宋_GB2312" w:hAnsi="Times New Roman"/>
                <w:sz w:val="24"/>
              </w:rPr>
            </w:pPr>
            <w:r>
              <w:rPr>
                <w:rFonts w:ascii="Times New Roman" w:eastAsia="仿宋_GB2312" w:hAnsi="Times New Roman"/>
                <w:color w:val="000000"/>
                <w:kern w:val="0"/>
                <w:sz w:val="24"/>
                <w:lang w:bidi="ar"/>
              </w:rPr>
              <w:t>DATE</w:t>
            </w:r>
          </w:p>
        </w:tc>
        <w:tc>
          <w:tcPr>
            <w:tcW w:w="1017" w:type="dxa"/>
            <w:vAlign w:val="center"/>
          </w:tcPr>
          <w:p w:rsidR="00B417CD" w:rsidRDefault="00B417CD">
            <w:pPr>
              <w:jc w:val="left"/>
              <w:rPr>
                <w:rFonts w:ascii="Times New Roman" w:eastAsia="仿宋_GB2312" w:hAnsi="Times New Roman"/>
                <w:sz w:val="24"/>
              </w:rPr>
            </w:pPr>
          </w:p>
        </w:tc>
        <w:tc>
          <w:tcPr>
            <w:tcW w:w="1005" w:type="dxa"/>
            <w:vAlign w:val="center"/>
          </w:tcPr>
          <w:p w:rsidR="00B417CD" w:rsidRDefault="00166166">
            <w:pPr>
              <w:widowControl/>
              <w:jc w:val="left"/>
              <w:textAlignment w:val="center"/>
              <w:rPr>
                <w:rFonts w:ascii="Times New Roman" w:eastAsia="仿宋_GB2312" w:hAnsi="Times New Roman"/>
                <w:sz w:val="24"/>
              </w:rPr>
            </w:pPr>
            <w:r>
              <w:rPr>
                <w:rFonts w:ascii="Times New Roman" w:eastAsia="仿宋_GB2312" w:hAnsi="Times New Roman"/>
                <w:color w:val="000000"/>
                <w:kern w:val="0"/>
                <w:sz w:val="24"/>
                <w:lang w:bidi="ar"/>
              </w:rPr>
              <w:t>DD108</w:t>
            </w:r>
          </w:p>
        </w:tc>
        <w:tc>
          <w:tcPr>
            <w:tcW w:w="866" w:type="dxa"/>
            <w:vAlign w:val="center"/>
          </w:tcPr>
          <w:p w:rsidR="00B417CD" w:rsidRDefault="00B417CD">
            <w:pPr>
              <w:jc w:val="center"/>
              <w:rPr>
                <w:rFonts w:ascii="Times New Roman" w:eastAsia="仿宋_GB2312" w:hAnsi="Times New Roman"/>
                <w:sz w:val="24"/>
              </w:rPr>
            </w:pPr>
          </w:p>
        </w:tc>
      </w:tr>
    </w:tbl>
    <w:p w:rsidR="00B417CD" w:rsidRDefault="00166166">
      <w:pPr>
        <w:ind w:firstLineChars="200" w:firstLine="640"/>
        <w:rPr>
          <w:rFonts w:ascii="Times New Roman" w:eastAsia="仿宋_GB2312" w:hAnsi="Times New Roman"/>
          <w:sz w:val="32"/>
          <w:szCs w:val="32"/>
        </w:rPr>
        <w:sectPr w:rsidR="00B417CD">
          <w:footerReference w:type="default" r:id="rId8"/>
          <w:pgSz w:w="11906" w:h="16838"/>
          <w:pgMar w:top="1440" w:right="1800" w:bottom="1440" w:left="1800" w:header="851" w:footer="992" w:gutter="0"/>
          <w:cols w:space="720"/>
          <w:docGrid w:type="lines" w:linePitch="312"/>
        </w:sectPr>
      </w:pPr>
      <w:r>
        <w:rPr>
          <w:rFonts w:ascii="Times New Roman" w:eastAsia="仿宋_GB2312" w:hAnsi="Times New Roman"/>
          <w:sz w:val="32"/>
          <w:szCs w:val="32"/>
        </w:rPr>
        <w:t>（九）根据《外商投资准入特别管理措施（负面清单）》（以下简称《负面清单》）对系统进行实时调整。各地市场监管部门要按照《外商投资准入特别管理措施（负面清单）（</w:t>
      </w:r>
      <w:r>
        <w:rPr>
          <w:rFonts w:ascii="Times New Roman" w:eastAsia="仿宋_GB2312" w:hAnsi="Times New Roman"/>
          <w:sz w:val="32"/>
          <w:szCs w:val="32"/>
        </w:rPr>
        <w:t>2020</w:t>
      </w:r>
      <w:r>
        <w:rPr>
          <w:rFonts w:ascii="Times New Roman" w:eastAsia="仿宋_GB2312" w:hAnsi="Times New Roman" w:hint="eastAsia"/>
          <w:sz w:val="32"/>
          <w:szCs w:val="32"/>
        </w:rPr>
        <w:t>年</w:t>
      </w:r>
      <w:r>
        <w:rPr>
          <w:rFonts w:ascii="Times New Roman" w:eastAsia="仿宋_GB2312" w:hAnsi="Times New Roman"/>
          <w:sz w:val="32"/>
          <w:szCs w:val="32"/>
        </w:rPr>
        <w:t>版）》和《自由贸易试验区外商投资准入特别管理措施（负面清单）（</w:t>
      </w:r>
      <w:r>
        <w:rPr>
          <w:rFonts w:ascii="Times New Roman" w:eastAsia="仿宋_GB2312" w:hAnsi="Times New Roman"/>
          <w:sz w:val="32"/>
          <w:szCs w:val="32"/>
        </w:rPr>
        <w:t>2020</w:t>
      </w:r>
      <w:r>
        <w:rPr>
          <w:rFonts w:ascii="Times New Roman" w:eastAsia="仿宋_GB2312" w:hAnsi="Times New Roman"/>
          <w:sz w:val="32"/>
          <w:szCs w:val="32"/>
        </w:rPr>
        <w:t>年版）》对系统进行</w:t>
      </w:r>
      <w:r>
        <w:rPr>
          <w:rFonts w:ascii="Times New Roman" w:eastAsia="仿宋_GB2312" w:hAnsi="Times New Roman" w:hint="eastAsia"/>
          <w:sz w:val="32"/>
          <w:szCs w:val="32"/>
        </w:rPr>
        <w:t>相应改造</w:t>
      </w:r>
      <w:r>
        <w:rPr>
          <w:rFonts w:ascii="Times New Roman" w:eastAsia="仿宋_GB2312" w:hAnsi="Times New Roman"/>
          <w:sz w:val="32"/>
          <w:szCs w:val="32"/>
        </w:rPr>
        <w:t>，在</w:t>
      </w:r>
      <w:r>
        <w:rPr>
          <w:rFonts w:ascii="Times New Roman" w:eastAsia="仿宋_GB2312" w:hAnsi="Times New Roman"/>
          <w:sz w:val="32"/>
          <w:szCs w:val="32"/>
        </w:rPr>
        <w:t>7</w:t>
      </w:r>
      <w:r>
        <w:rPr>
          <w:rFonts w:ascii="Times New Roman" w:eastAsia="仿宋_GB2312" w:hAnsi="Times New Roman"/>
          <w:sz w:val="32"/>
          <w:szCs w:val="32"/>
        </w:rPr>
        <w:t>月</w:t>
      </w:r>
      <w:r>
        <w:rPr>
          <w:rFonts w:ascii="Times New Roman" w:eastAsia="仿宋_GB2312" w:hAnsi="Times New Roman"/>
          <w:sz w:val="32"/>
          <w:szCs w:val="32"/>
        </w:rPr>
        <w:t>23</w:t>
      </w:r>
      <w:r>
        <w:rPr>
          <w:rFonts w:ascii="Times New Roman" w:eastAsia="仿宋_GB2312" w:hAnsi="Times New Roman"/>
          <w:sz w:val="32"/>
          <w:szCs w:val="32"/>
        </w:rPr>
        <w:t>日启用</w:t>
      </w:r>
      <w:r>
        <w:rPr>
          <w:rFonts w:ascii="Times New Roman" w:eastAsia="仿宋_GB2312" w:hAnsi="Times New Roman"/>
          <w:sz w:val="32"/>
          <w:szCs w:val="32"/>
        </w:rPr>
        <w:t>2020</w:t>
      </w:r>
      <w:r>
        <w:rPr>
          <w:rFonts w:ascii="Times New Roman" w:eastAsia="仿宋_GB2312" w:hAnsi="Times New Roman"/>
          <w:sz w:val="32"/>
          <w:szCs w:val="32"/>
        </w:rPr>
        <w:t>年版《负面清单》。</w:t>
      </w:r>
    </w:p>
    <w:p w:rsidR="00B417CD" w:rsidRDefault="00166166">
      <w:pPr>
        <w:spacing w:line="360" w:lineRule="auto"/>
        <w:rPr>
          <w:rFonts w:ascii="Times New Roman" w:eastAsia="黑体" w:hAnsi="Times New Roman"/>
          <w:sz w:val="32"/>
          <w:szCs w:val="32"/>
        </w:rPr>
      </w:pPr>
      <w:r>
        <w:rPr>
          <w:rFonts w:ascii="Times New Roman" w:eastAsia="黑体" w:hAnsi="Times New Roman"/>
          <w:sz w:val="32"/>
          <w:szCs w:val="32"/>
        </w:rPr>
        <w:t>附</w:t>
      </w:r>
      <w:r>
        <w:rPr>
          <w:rFonts w:ascii="Times New Roman" w:eastAsia="黑体" w:hAnsi="Times New Roman"/>
          <w:sz w:val="32"/>
          <w:szCs w:val="32"/>
        </w:rPr>
        <w:t>例</w:t>
      </w:r>
      <w:r>
        <w:rPr>
          <w:rFonts w:ascii="Times New Roman" w:eastAsia="黑体" w:hAnsi="Times New Roman"/>
          <w:sz w:val="32"/>
          <w:szCs w:val="32"/>
        </w:rPr>
        <w:t>1</w:t>
      </w:r>
    </w:p>
    <w:p w:rsidR="00B417CD" w:rsidRDefault="00166166">
      <w:pPr>
        <w:spacing w:before="312" w:line="360" w:lineRule="auto"/>
        <w:jc w:val="center"/>
        <w:rPr>
          <w:rFonts w:ascii="Times New Roman" w:hAnsi="Times New Roman"/>
          <w:b/>
          <w:bCs/>
          <w:sz w:val="36"/>
          <w:szCs w:val="36"/>
        </w:rPr>
      </w:pPr>
      <w:r>
        <w:rPr>
          <w:rFonts w:ascii="Times New Roman" w:hAnsi="Times New Roman"/>
          <w:b/>
          <w:bCs/>
          <w:sz w:val="36"/>
          <w:szCs w:val="36"/>
        </w:rPr>
        <w:t>企业登记系统弹出窗口提示文本示例</w:t>
      </w:r>
    </w:p>
    <w:p w:rsidR="00B417CD" w:rsidRDefault="00B417CD">
      <w:pPr>
        <w:pStyle w:val="a3"/>
        <w:adjustRightInd w:val="0"/>
        <w:snapToGrid w:val="0"/>
        <w:spacing w:line="360" w:lineRule="auto"/>
        <w:ind w:firstLineChars="200" w:firstLine="640"/>
        <w:rPr>
          <w:rFonts w:ascii="Times New Roman" w:eastAsia="仿宋_GB2312" w:hAnsi="Times New Roman" w:cs="Times New Roman"/>
          <w:sz w:val="32"/>
          <w:szCs w:val="32"/>
        </w:rPr>
      </w:pPr>
    </w:p>
    <w:p w:rsidR="00B417CD" w:rsidRDefault="00166166">
      <w:pPr>
        <w:pStyle w:val="a3"/>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根据《中华人民共和国外商投资法》，外国投资者或者外商投资企业应当通过企业登记系统向商务主管部门报送投资信息。</w:t>
      </w:r>
    </w:p>
    <w:p w:rsidR="00B417CD" w:rsidRDefault="00166166">
      <w:pPr>
        <w:pStyle w:val="a3"/>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外商投资信息报告办法》及相关配套文件规定，外国投资者直接在中国境内投资设立公司、合伙企业，外国（地区）企业在中国境内从事生产经营活动，外国（地区）企业在中国境内设立从事生产经营活动的常驻代表机构的，均应履行</w:t>
      </w:r>
      <w:r>
        <w:rPr>
          <w:rFonts w:ascii="Times New Roman" w:eastAsia="仿宋_GB2312" w:hAnsi="Times New Roman" w:cs="Times New Roman" w:hint="eastAsia"/>
          <w:sz w:val="32"/>
          <w:szCs w:val="32"/>
        </w:rPr>
        <w:t>初始、变</w:t>
      </w:r>
      <w:r>
        <w:rPr>
          <w:rFonts w:ascii="Times New Roman" w:eastAsia="仿宋_GB2312" w:hAnsi="Times New Roman" w:cs="Times New Roman" w:hint="eastAsia"/>
          <w:sz w:val="32"/>
          <w:szCs w:val="32"/>
        </w:rPr>
        <w:t>更</w:t>
      </w:r>
      <w:r>
        <w:rPr>
          <w:rFonts w:ascii="Times New Roman" w:eastAsia="仿宋_GB2312" w:hAnsi="Times New Roman" w:cs="Times New Roman"/>
          <w:sz w:val="32"/>
          <w:szCs w:val="32"/>
        </w:rPr>
        <w:t>信息报告义务。未按要求提交初始、变更报告的，根据《外商投资法》和《外商投资信息报告办法》，由商务主管部门责令限期改正；逾期不改正的，处十万元以上五十万元以下的罚款。</w:t>
      </w:r>
    </w:p>
    <w:p w:rsidR="00B417CD" w:rsidRDefault="00B417CD">
      <w:pPr>
        <w:pStyle w:val="a3"/>
        <w:adjustRightInd w:val="0"/>
        <w:snapToGrid w:val="0"/>
        <w:spacing w:line="360" w:lineRule="auto"/>
        <w:ind w:firstLineChars="200" w:firstLine="640"/>
        <w:rPr>
          <w:rFonts w:ascii="Times New Roman" w:eastAsia="仿宋" w:hAnsi="Times New Roman" w:cs="Times New Roman"/>
          <w:sz w:val="32"/>
          <w:szCs w:val="32"/>
        </w:rPr>
      </w:pPr>
    </w:p>
    <w:p w:rsidR="00B417CD" w:rsidRDefault="00B417CD">
      <w:pPr>
        <w:pStyle w:val="a3"/>
        <w:adjustRightInd w:val="0"/>
        <w:snapToGrid w:val="0"/>
        <w:spacing w:line="360" w:lineRule="auto"/>
        <w:ind w:firstLineChars="200" w:firstLine="640"/>
        <w:rPr>
          <w:rFonts w:ascii="Times New Roman" w:eastAsia="仿宋" w:hAnsi="Times New Roman" w:cs="Times New Roman"/>
          <w:sz w:val="32"/>
          <w:szCs w:val="32"/>
        </w:rPr>
      </w:pPr>
    </w:p>
    <w:p w:rsidR="00B417CD" w:rsidRDefault="00166166">
      <w:pPr>
        <w:widowControl/>
        <w:spacing w:line="360" w:lineRule="auto"/>
        <w:jc w:val="left"/>
        <w:rPr>
          <w:rFonts w:ascii="Times New Roman" w:eastAsia="黑体" w:hAnsi="Times New Roman"/>
          <w:sz w:val="32"/>
          <w:szCs w:val="32"/>
        </w:rPr>
      </w:pPr>
      <w:r>
        <w:rPr>
          <w:rFonts w:ascii="Times New Roman" w:hAnsi="Times New Roman"/>
        </w:rPr>
        <w:br w:type="page"/>
      </w:r>
      <w:r>
        <w:rPr>
          <w:rFonts w:ascii="Times New Roman" w:eastAsia="黑体" w:hAnsi="Times New Roman"/>
          <w:sz w:val="32"/>
          <w:szCs w:val="32"/>
        </w:rPr>
        <w:t>附</w:t>
      </w:r>
      <w:r>
        <w:rPr>
          <w:rFonts w:ascii="Times New Roman" w:eastAsia="黑体" w:hAnsi="Times New Roman"/>
          <w:sz w:val="32"/>
          <w:szCs w:val="32"/>
        </w:rPr>
        <w:t>例</w:t>
      </w:r>
      <w:r>
        <w:rPr>
          <w:rFonts w:ascii="Times New Roman" w:eastAsia="黑体" w:hAnsi="Times New Roman"/>
          <w:sz w:val="32"/>
          <w:szCs w:val="32"/>
        </w:rPr>
        <w:t>2</w:t>
      </w:r>
    </w:p>
    <w:p w:rsidR="00B417CD" w:rsidRDefault="00166166">
      <w:pPr>
        <w:spacing w:before="312" w:line="360" w:lineRule="auto"/>
        <w:jc w:val="center"/>
        <w:rPr>
          <w:rFonts w:ascii="Times New Roman" w:hAnsi="Times New Roman"/>
          <w:b/>
          <w:bCs/>
          <w:sz w:val="36"/>
          <w:szCs w:val="36"/>
        </w:rPr>
      </w:pPr>
      <w:r>
        <w:rPr>
          <w:rFonts w:ascii="Times New Roman" w:hAnsi="Times New Roman"/>
          <w:b/>
          <w:bCs/>
          <w:sz w:val="36"/>
          <w:szCs w:val="36"/>
        </w:rPr>
        <w:t>各地市场监管部门线下登记窗口提示文本示例</w:t>
      </w:r>
    </w:p>
    <w:p w:rsidR="00B417CD" w:rsidRDefault="00B417CD">
      <w:pPr>
        <w:pStyle w:val="a3"/>
        <w:adjustRightInd w:val="0"/>
        <w:snapToGrid w:val="0"/>
        <w:spacing w:line="360" w:lineRule="auto"/>
        <w:ind w:firstLineChars="200" w:firstLine="640"/>
        <w:rPr>
          <w:rFonts w:ascii="Times New Roman" w:eastAsia="仿宋_GB2312" w:hAnsi="Times New Roman" w:cs="Times New Roman"/>
          <w:sz w:val="32"/>
          <w:szCs w:val="32"/>
        </w:rPr>
      </w:pPr>
    </w:p>
    <w:p w:rsidR="00B417CD" w:rsidRDefault="00166166">
      <w:pPr>
        <w:pStyle w:val="a3"/>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中华人民共和国外商投资法》、《外商投资信息报告办法》及相关配套文件规定，外国投资者直接在中国境内投资设立公司、合伙企业，外国（地区）企业在中国境内从事生产经营活动，外国（地区）企业在中国境内设立从事生产经营活动的常驻代表机构的，均应履行外商投资信息报告义务。</w:t>
      </w:r>
    </w:p>
    <w:p w:rsidR="00B417CD" w:rsidRDefault="00166166">
      <w:pPr>
        <w:pStyle w:val="a3"/>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设立登记：</w:t>
      </w:r>
      <w:r>
        <w:rPr>
          <w:rFonts w:ascii="Times New Roman" w:eastAsia="仿宋_GB2312" w:hAnsi="Times New Roman" w:cs="Times New Roman"/>
          <w:sz w:val="32"/>
          <w:szCs w:val="32"/>
        </w:rPr>
        <w:t>在本窗口</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大厅线下办理设立登记后，应当通过</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rPr>
        <w:t>提交初始报告。</w:t>
      </w:r>
      <w:r>
        <w:rPr>
          <w:rFonts w:ascii="Times New Roman" w:eastAsia="仿宋_GB2312" w:hAnsi="Times New Roman" w:cs="Times New Roman"/>
          <w:sz w:val="32"/>
          <w:szCs w:val="32"/>
        </w:rPr>
        <w:t>（请市场监管部门补充系统名称、网址，具体流程和指引。）</w:t>
      </w:r>
    </w:p>
    <w:p w:rsidR="00B417CD" w:rsidRDefault="00166166">
      <w:pPr>
        <w:pStyle w:val="a3"/>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变更登记：</w:t>
      </w:r>
      <w:r>
        <w:rPr>
          <w:rFonts w:ascii="Times New Roman" w:eastAsia="仿宋_GB2312" w:hAnsi="Times New Roman" w:cs="Times New Roman"/>
          <w:sz w:val="32"/>
          <w:szCs w:val="32"/>
        </w:rPr>
        <w:t>在本窗口</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大厅线下办理变更登记后，</w:t>
      </w:r>
      <w:r>
        <w:rPr>
          <w:rFonts w:ascii="Times New Roman" w:eastAsia="仿宋_GB2312" w:hAnsi="Times New Roman" w:cs="Times New Roman" w:hint="eastAsia"/>
          <w:sz w:val="32"/>
          <w:szCs w:val="32"/>
        </w:rPr>
        <w:t>应当通过</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提交</w:t>
      </w:r>
      <w:r>
        <w:rPr>
          <w:rFonts w:ascii="Times New Roman" w:eastAsia="仿宋_GB2312" w:hAnsi="Times New Roman" w:cs="Times New Roman" w:hint="eastAsia"/>
          <w:sz w:val="32"/>
          <w:szCs w:val="32"/>
        </w:rPr>
        <w:t>变更</w:t>
      </w:r>
      <w:r>
        <w:rPr>
          <w:rFonts w:ascii="Times New Roman" w:eastAsia="仿宋_GB2312" w:hAnsi="Times New Roman" w:cs="Times New Roman"/>
          <w:sz w:val="32"/>
          <w:szCs w:val="32"/>
        </w:rPr>
        <w:t>报告。</w:t>
      </w:r>
      <w:r>
        <w:rPr>
          <w:rFonts w:ascii="Times New Roman" w:eastAsia="仿宋_GB2312" w:hAnsi="Times New Roman" w:cs="Times New Roman" w:hint="eastAsia"/>
          <w:sz w:val="32"/>
          <w:szCs w:val="32"/>
        </w:rPr>
        <w:t>如发生</w:t>
      </w:r>
      <w:r>
        <w:rPr>
          <w:rFonts w:ascii="Times New Roman" w:eastAsia="仿宋_GB2312" w:hAnsi="Times New Roman" w:cs="Times New Roman"/>
          <w:sz w:val="32"/>
          <w:szCs w:val="32"/>
        </w:rPr>
        <w:t>外国投资者股权并购境内非外商投资企业，在本窗口</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大厅线下办理变更登记后</w:t>
      </w:r>
      <w:r>
        <w:rPr>
          <w:rFonts w:ascii="Times New Roman" w:eastAsia="仿宋_GB2312" w:hAnsi="Times New Roman" w:cs="Times New Roman" w:hint="eastAsia"/>
          <w:sz w:val="32"/>
          <w:szCs w:val="32"/>
        </w:rPr>
        <w:t>，应当通过</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提交</w:t>
      </w:r>
      <w:r>
        <w:rPr>
          <w:rFonts w:ascii="Times New Roman" w:eastAsia="仿宋_GB2312" w:hAnsi="Times New Roman" w:cs="Times New Roman" w:hint="eastAsia"/>
          <w:sz w:val="32"/>
          <w:szCs w:val="32"/>
        </w:rPr>
        <w:t>初始报告。如</w:t>
      </w:r>
      <w:r>
        <w:rPr>
          <w:rFonts w:ascii="Times New Roman" w:eastAsia="仿宋_GB2312" w:hAnsi="Times New Roman" w:cs="Times New Roman"/>
          <w:sz w:val="32"/>
          <w:szCs w:val="32"/>
        </w:rPr>
        <w:t>有外商投资信息报告内容发生变更，但无需办理市场监管部门变更登记的，应当根据《外商投资信息报告办法》，于变更事项发生后</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个工作日内通过</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提交变更报告。</w:t>
      </w:r>
      <w:r>
        <w:rPr>
          <w:rFonts w:ascii="Times New Roman" w:eastAsia="仿宋_GB2312" w:hAnsi="Times New Roman" w:cs="Times New Roman"/>
          <w:sz w:val="32"/>
          <w:szCs w:val="32"/>
        </w:rPr>
        <w:t>（请市场监管部门补充系统名称、网址，具体流程和指引。）</w:t>
      </w:r>
    </w:p>
    <w:p w:rsidR="00B417CD" w:rsidRDefault="00166166">
      <w:pPr>
        <w:pStyle w:val="a3"/>
        <w:adjustRightInd w:val="0"/>
        <w:snapToGrid w:val="0"/>
        <w:spacing w:line="580" w:lineRule="exact"/>
        <w:ind w:firstLineChars="200" w:firstLine="640"/>
      </w:pPr>
      <w:r>
        <w:rPr>
          <w:rFonts w:ascii="Times New Roman" w:eastAsia="仿宋_GB2312" w:hAnsi="Times New Roman" w:cs="Times New Roman"/>
          <w:sz w:val="32"/>
          <w:szCs w:val="32"/>
        </w:rPr>
        <w:t>未按要求提交初始、变更报告的，根据《外商投资法》和《外商投资信息报告办法》，由商务主管部门责令限期改正；逾期不改正的，处十万元以上五十万元以下的罚款。</w:t>
      </w:r>
    </w:p>
    <w:sectPr w:rsidR="00B417CD">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166" w:rsidRDefault="00166166">
      <w:r>
        <w:separator/>
      </w:r>
    </w:p>
  </w:endnote>
  <w:endnote w:type="continuationSeparator" w:id="0">
    <w:p w:rsidR="00166166" w:rsidRDefault="0016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楷体">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7CD" w:rsidRDefault="00166166">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417CD" w:rsidRDefault="00166166">
                          <w:pPr>
                            <w:pStyle w:val="a4"/>
                          </w:pPr>
                          <w:r>
                            <w:rPr>
                              <w:rFonts w:hint="eastAsia"/>
                            </w:rPr>
                            <w:fldChar w:fldCharType="begin"/>
                          </w:r>
                          <w:r>
                            <w:rPr>
                              <w:rFonts w:hint="eastAsia"/>
                            </w:rPr>
                            <w:instrText xml:space="preserve"> PAGE  \* MERGEFORMAT </w:instrText>
                          </w:r>
                          <w:r>
                            <w:rPr>
                              <w:rFonts w:hint="eastAsia"/>
                            </w:rPr>
                            <w:fldChar w:fldCharType="separate"/>
                          </w:r>
                          <w:r w:rsidR="00A8497A">
                            <w:rPr>
                              <w:noProof/>
                            </w:rPr>
                            <w:t>2</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B417CD" w:rsidRDefault="00166166">
                    <w:pPr>
                      <w:pStyle w:val="a4"/>
                    </w:pPr>
                    <w:r>
                      <w:rPr>
                        <w:rFonts w:hint="eastAsia"/>
                      </w:rPr>
                      <w:fldChar w:fldCharType="begin"/>
                    </w:r>
                    <w:r>
                      <w:rPr>
                        <w:rFonts w:hint="eastAsia"/>
                      </w:rPr>
                      <w:instrText xml:space="preserve"> PAGE  \* MERGEFORMAT </w:instrText>
                    </w:r>
                    <w:r>
                      <w:rPr>
                        <w:rFonts w:hint="eastAsia"/>
                      </w:rPr>
                      <w:fldChar w:fldCharType="separate"/>
                    </w:r>
                    <w:r w:rsidR="00A8497A">
                      <w:rPr>
                        <w:noProof/>
                      </w:rPr>
                      <w:t>2</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7CD" w:rsidRDefault="00166166">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417CD" w:rsidRDefault="00166166">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166" w:rsidRDefault="00166166">
      <w:r>
        <w:separator/>
      </w:r>
    </w:p>
  </w:footnote>
  <w:footnote w:type="continuationSeparator" w:id="0">
    <w:p w:rsidR="00166166" w:rsidRDefault="00166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C20C6"/>
    <w:rsid w:val="00166166"/>
    <w:rsid w:val="00A8497A"/>
    <w:rsid w:val="00B417CD"/>
    <w:rsid w:val="7F9C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658</Words>
  <Characters>3751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zhangyc</cp:lastModifiedBy>
  <cp:revision>2</cp:revision>
  <dcterms:created xsi:type="dcterms:W3CDTF">2020-07-10T00:43:00Z</dcterms:created>
  <dcterms:modified xsi:type="dcterms:W3CDTF">2020-07-10T00:43:00Z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